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2BF86" w14:textId="2207C75F" w:rsidR="00AF5C9D" w:rsidRPr="004034DB" w:rsidRDefault="00AF5C9D">
      <w:pPr>
        <w:rPr>
          <w:rFonts w:ascii="Calibri" w:hAnsi="Calibri"/>
          <w:b/>
          <w:caps/>
          <w:sz w:val="20"/>
          <w:szCs w:val="20"/>
        </w:rPr>
      </w:pPr>
      <w:bookmarkStart w:id="0" w:name="_GoBack"/>
      <w:bookmarkEnd w:id="0"/>
      <w:r w:rsidRPr="004034DB">
        <w:rPr>
          <w:rFonts w:ascii="Calibri" w:hAnsi="Calibri"/>
          <w:b/>
          <w:caps/>
          <w:sz w:val="20"/>
          <w:szCs w:val="20"/>
        </w:rPr>
        <w:t xml:space="preserve">Results </w:t>
      </w:r>
      <w:r w:rsidR="00FA5D20" w:rsidRPr="004034DB">
        <w:rPr>
          <w:rFonts w:ascii="Calibri" w:hAnsi="Calibri"/>
          <w:b/>
          <w:caps/>
          <w:sz w:val="20"/>
          <w:szCs w:val="20"/>
        </w:rPr>
        <w:t xml:space="preserve">of </w:t>
      </w:r>
      <w:r w:rsidRPr="004034DB">
        <w:rPr>
          <w:rFonts w:ascii="Calibri" w:hAnsi="Calibri"/>
          <w:b/>
          <w:caps/>
          <w:sz w:val="20"/>
          <w:szCs w:val="20"/>
        </w:rPr>
        <w:t>policy framework dialogue &amp; dissent</w:t>
      </w:r>
    </w:p>
    <w:tbl>
      <w:tblPr>
        <w:tblStyle w:val="TableGrid"/>
        <w:tblW w:w="4969" w:type="pct"/>
        <w:tblLook w:val="04A0" w:firstRow="1" w:lastRow="0" w:firstColumn="1" w:lastColumn="0" w:noHBand="0" w:noVBand="1"/>
      </w:tblPr>
      <w:tblGrid>
        <w:gridCol w:w="387"/>
        <w:gridCol w:w="4608"/>
        <w:gridCol w:w="3071"/>
        <w:gridCol w:w="6685"/>
      </w:tblGrid>
      <w:tr w:rsidR="00AF5C9D" w:rsidRPr="004034DB" w14:paraId="3CB975EC" w14:textId="77777777" w:rsidTr="00C77DA1">
        <w:tc>
          <w:tcPr>
            <w:tcW w:w="131" w:type="pct"/>
            <w:shd w:val="clear" w:color="auto" w:fill="E4E9EF" w:themeFill="background2"/>
          </w:tcPr>
          <w:p w14:paraId="08FA6707" w14:textId="77777777" w:rsidR="00AF5C9D" w:rsidRPr="004034DB" w:rsidRDefault="00AF5C9D" w:rsidP="00AC706F">
            <w:pPr>
              <w:pStyle w:val="Niveau"/>
              <w:rPr>
                <w:b/>
                <w:color w:val="auto"/>
              </w:rPr>
            </w:pPr>
            <w:r w:rsidRPr="004034DB">
              <w:rPr>
                <w:b/>
                <w:color w:val="auto"/>
              </w:rPr>
              <w:t>1</w:t>
            </w:r>
          </w:p>
        </w:tc>
        <w:tc>
          <w:tcPr>
            <w:tcW w:w="4869" w:type="pct"/>
            <w:gridSpan w:val="3"/>
            <w:shd w:val="clear" w:color="auto" w:fill="E4E9EF" w:themeFill="background2"/>
          </w:tcPr>
          <w:p w14:paraId="094F27E0" w14:textId="77777777" w:rsidR="00AF5C9D" w:rsidRPr="004034DB" w:rsidRDefault="00C322F8" w:rsidP="00AC706F">
            <w:pPr>
              <w:pStyle w:val="Niveau"/>
              <w:rPr>
                <w:b/>
                <w:color w:val="auto"/>
              </w:rPr>
            </w:pPr>
            <w:r w:rsidRPr="004034DB">
              <w:rPr>
                <w:b/>
                <w:color w:val="auto"/>
              </w:rPr>
              <w:t xml:space="preserve">Inclusive </w:t>
            </w:r>
            <w:r w:rsidR="000637CB" w:rsidRPr="004034DB">
              <w:rPr>
                <w:b/>
                <w:color w:val="auto"/>
              </w:rPr>
              <w:t>sustainable development</w:t>
            </w:r>
            <w:r w:rsidRPr="004034DB">
              <w:rPr>
                <w:b/>
                <w:color w:val="auto"/>
              </w:rPr>
              <w:t xml:space="preserve"> in LLMICs</w:t>
            </w:r>
          </w:p>
        </w:tc>
      </w:tr>
      <w:tr w:rsidR="00AF5C9D" w:rsidRPr="004034DB" w14:paraId="59021B48" w14:textId="77777777" w:rsidTr="00C77DA1">
        <w:trPr>
          <w:trHeight w:val="110"/>
        </w:trPr>
        <w:tc>
          <w:tcPr>
            <w:tcW w:w="131" w:type="pct"/>
          </w:tcPr>
          <w:p w14:paraId="31EDA565" w14:textId="77777777" w:rsidR="00AF5C9D" w:rsidRPr="004034DB" w:rsidRDefault="00AF5C9D" w:rsidP="00DE7E57">
            <w:pPr>
              <w:pStyle w:val="Resultmain"/>
              <w:rPr>
                <w:b w:val="0"/>
              </w:rPr>
            </w:pPr>
          </w:p>
        </w:tc>
        <w:tc>
          <w:tcPr>
            <w:tcW w:w="4869" w:type="pct"/>
            <w:gridSpan w:val="3"/>
          </w:tcPr>
          <w:p w14:paraId="2BB4F0F6" w14:textId="77777777" w:rsidR="00944791" w:rsidRDefault="00876341" w:rsidP="00DE7E57">
            <w:pPr>
              <w:pStyle w:val="Resultmain"/>
              <w:rPr>
                <w:b w:val="0"/>
              </w:rPr>
            </w:pPr>
            <w:r w:rsidRPr="00876341">
              <w:rPr>
                <w:b w:val="0"/>
              </w:rPr>
              <w:t xml:space="preserve">All people have equal access to rights, services and opportunities </w:t>
            </w:r>
          </w:p>
          <w:p w14:paraId="04EED22F" w14:textId="3F25E452" w:rsidR="00876341" w:rsidRPr="004034DB" w:rsidRDefault="00876341" w:rsidP="00DE7E57">
            <w:pPr>
              <w:pStyle w:val="Resultmain"/>
              <w:rPr>
                <w:b w:val="0"/>
              </w:rPr>
            </w:pPr>
          </w:p>
        </w:tc>
      </w:tr>
      <w:tr w:rsidR="00AF5C9D" w:rsidRPr="004034DB" w14:paraId="0AA2E10D" w14:textId="77777777" w:rsidTr="00C77DA1">
        <w:tblPrEx>
          <w:tblCellMar>
            <w:top w:w="57" w:type="dxa"/>
            <w:left w:w="113" w:type="dxa"/>
            <w:bottom w:w="57" w:type="dxa"/>
            <w:right w:w="113" w:type="dxa"/>
          </w:tblCellMar>
        </w:tblPrEx>
        <w:trPr>
          <w:cantSplit/>
          <w:trHeight w:val="18"/>
        </w:trPr>
        <w:tc>
          <w:tcPr>
            <w:tcW w:w="131" w:type="pct"/>
            <w:shd w:val="clear" w:color="auto" w:fill="CFDCF0" w:themeFill="text2" w:themeFillTint="33"/>
            <w:vAlign w:val="center"/>
          </w:tcPr>
          <w:p w14:paraId="40DD7A90" w14:textId="77777777" w:rsidR="00AF5C9D" w:rsidRPr="004034DB" w:rsidRDefault="00AF5C9D" w:rsidP="00AC706F">
            <w:pPr>
              <w:pStyle w:val="Niveau"/>
              <w:rPr>
                <w:b/>
                <w:color w:val="auto"/>
              </w:rPr>
            </w:pPr>
            <w:r w:rsidRPr="004034DB">
              <w:rPr>
                <w:b/>
                <w:color w:val="auto"/>
              </w:rPr>
              <w:t>2</w:t>
            </w:r>
          </w:p>
        </w:tc>
        <w:tc>
          <w:tcPr>
            <w:tcW w:w="4869" w:type="pct"/>
            <w:gridSpan w:val="3"/>
            <w:shd w:val="clear" w:color="auto" w:fill="CFDCF0" w:themeFill="text2" w:themeFillTint="33"/>
            <w:tcMar>
              <w:bottom w:w="57" w:type="dxa"/>
            </w:tcMar>
            <w:vAlign w:val="center"/>
          </w:tcPr>
          <w:p w14:paraId="0BB3C540" w14:textId="6C0F27A5" w:rsidR="00AF5C9D" w:rsidRPr="004034DB" w:rsidRDefault="0029141E" w:rsidP="00AC706F">
            <w:pPr>
              <w:pStyle w:val="Niveau"/>
              <w:rPr>
                <w:b/>
                <w:color w:val="auto"/>
              </w:rPr>
            </w:pPr>
            <w:r>
              <w:rPr>
                <w:b/>
                <w:color w:val="auto"/>
              </w:rPr>
              <w:t>Improved</w:t>
            </w:r>
            <w:r w:rsidRPr="004034DB">
              <w:rPr>
                <w:b/>
                <w:color w:val="auto"/>
              </w:rPr>
              <w:t xml:space="preserve"> </w:t>
            </w:r>
            <w:r w:rsidR="00E31F13" w:rsidRPr="004034DB">
              <w:rPr>
                <w:b/>
                <w:color w:val="auto"/>
              </w:rPr>
              <w:t xml:space="preserve">laws, </w:t>
            </w:r>
            <w:r w:rsidR="00C322F8" w:rsidRPr="004034DB">
              <w:rPr>
                <w:b/>
                <w:color w:val="auto"/>
              </w:rPr>
              <w:t>policies</w:t>
            </w:r>
            <w:r>
              <w:rPr>
                <w:b/>
                <w:color w:val="auto"/>
              </w:rPr>
              <w:t>, norms</w:t>
            </w:r>
            <w:r w:rsidR="009745B9">
              <w:rPr>
                <w:b/>
                <w:color w:val="auto"/>
              </w:rPr>
              <w:t>, attitudes</w:t>
            </w:r>
            <w:r w:rsidR="00C322F8" w:rsidRPr="004034DB">
              <w:rPr>
                <w:b/>
                <w:color w:val="auto"/>
              </w:rPr>
              <w:t xml:space="preserve"> and Practices</w:t>
            </w:r>
          </w:p>
        </w:tc>
      </w:tr>
      <w:tr w:rsidR="00AF5C9D" w:rsidRPr="004034DB" w14:paraId="037D14A2" w14:textId="77777777" w:rsidTr="00C77DA1">
        <w:tblPrEx>
          <w:tblCellMar>
            <w:top w:w="57" w:type="dxa"/>
            <w:left w:w="113" w:type="dxa"/>
            <w:bottom w:w="57" w:type="dxa"/>
            <w:right w:w="113" w:type="dxa"/>
          </w:tblCellMar>
        </w:tblPrEx>
        <w:trPr>
          <w:cantSplit/>
        </w:trPr>
        <w:tc>
          <w:tcPr>
            <w:tcW w:w="131" w:type="pct"/>
            <w:shd w:val="clear" w:color="auto" w:fill="auto"/>
            <w:vAlign w:val="center"/>
          </w:tcPr>
          <w:p w14:paraId="25A05710" w14:textId="77777777" w:rsidR="00AF5C9D" w:rsidRPr="004034DB" w:rsidRDefault="00AF5C9D" w:rsidP="00DE7E57">
            <w:pPr>
              <w:pStyle w:val="Resultmain"/>
              <w:rPr>
                <w:color w:val="FFFFFF" w:themeColor="background1"/>
              </w:rPr>
            </w:pPr>
          </w:p>
        </w:tc>
        <w:tc>
          <w:tcPr>
            <w:tcW w:w="4869" w:type="pct"/>
            <w:gridSpan w:val="3"/>
            <w:shd w:val="clear" w:color="auto" w:fill="7096D2" w:themeFill="text2" w:themeFillTint="99"/>
            <w:tcMar>
              <w:top w:w="57" w:type="dxa"/>
            </w:tcMar>
            <w:vAlign w:val="center"/>
          </w:tcPr>
          <w:p w14:paraId="1338C227" w14:textId="1EA55B3E" w:rsidR="00AF5C9D" w:rsidRPr="004034DB" w:rsidRDefault="00876341" w:rsidP="009745B9">
            <w:pPr>
              <w:pStyle w:val="Resultmain"/>
              <w:rPr>
                <w:color w:val="FFFFFF" w:themeColor="background1"/>
              </w:rPr>
            </w:pPr>
            <w:r w:rsidRPr="00876341">
              <w:rPr>
                <w:color w:val="FFFFFF" w:themeColor="background1"/>
              </w:rPr>
              <w:t xml:space="preserve">Government, private sector and societal groups support sustainability and </w:t>
            </w:r>
            <w:r w:rsidR="00414D7B">
              <w:rPr>
                <w:color w:val="FFFFFF" w:themeColor="background1"/>
              </w:rPr>
              <w:t>(gender)</w:t>
            </w:r>
            <w:r w:rsidRPr="00876341">
              <w:rPr>
                <w:color w:val="FFFFFF" w:themeColor="background1"/>
              </w:rPr>
              <w:t xml:space="preserve">inclusiveness in their </w:t>
            </w:r>
            <w:r w:rsidR="0029141E">
              <w:rPr>
                <w:color w:val="FFFFFF" w:themeColor="background1"/>
              </w:rPr>
              <w:t xml:space="preserve">laws, </w:t>
            </w:r>
            <w:r w:rsidRPr="00876341">
              <w:rPr>
                <w:color w:val="FFFFFF" w:themeColor="background1"/>
              </w:rPr>
              <w:t>policies</w:t>
            </w:r>
            <w:r w:rsidR="0029141E">
              <w:rPr>
                <w:color w:val="FFFFFF" w:themeColor="background1"/>
              </w:rPr>
              <w:t>,</w:t>
            </w:r>
            <w:r w:rsidR="009745B9">
              <w:rPr>
                <w:color w:val="FFFFFF" w:themeColor="background1"/>
              </w:rPr>
              <w:t xml:space="preserve"> </w:t>
            </w:r>
            <w:r w:rsidR="0029141E">
              <w:rPr>
                <w:color w:val="FFFFFF" w:themeColor="background1"/>
              </w:rPr>
              <w:t>norms</w:t>
            </w:r>
            <w:r w:rsidR="009745B9">
              <w:rPr>
                <w:color w:val="FFFFFF" w:themeColor="background1"/>
              </w:rPr>
              <w:t>,</w:t>
            </w:r>
            <w:r w:rsidRPr="00876341">
              <w:rPr>
                <w:color w:val="FFFFFF" w:themeColor="background1"/>
              </w:rPr>
              <w:t xml:space="preserve"> </w:t>
            </w:r>
            <w:r w:rsidR="009745B9">
              <w:rPr>
                <w:color w:val="FFFFFF" w:themeColor="background1"/>
              </w:rPr>
              <w:t>attitudes</w:t>
            </w:r>
            <w:r w:rsidR="009745B9" w:rsidRPr="00876341">
              <w:rPr>
                <w:color w:val="FFFFFF" w:themeColor="background1"/>
              </w:rPr>
              <w:t xml:space="preserve"> </w:t>
            </w:r>
            <w:r w:rsidRPr="00876341">
              <w:rPr>
                <w:color w:val="FFFFFF" w:themeColor="background1"/>
              </w:rPr>
              <w:t>&amp; practices</w:t>
            </w:r>
          </w:p>
        </w:tc>
      </w:tr>
      <w:tr w:rsidR="0020145C" w:rsidRPr="004034DB" w14:paraId="1C207E59" w14:textId="77777777" w:rsidTr="00454C7B">
        <w:trPr>
          <w:trHeight w:val="24"/>
        </w:trPr>
        <w:tc>
          <w:tcPr>
            <w:tcW w:w="131" w:type="pct"/>
          </w:tcPr>
          <w:p w14:paraId="708D42BF" w14:textId="77777777" w:rsidR="0020145C" w:rsidRPr="004034DB" w:rsidRDefault="0020145C" w:rsidP="00FA5D20">
            <w:pPr>
              <w:pStyle w:val="Kolomtitel"/>
              <w:rPr>
                <w:sz w:val="20"/>
              </w:rPr>
            </w:pPr>
          </w:p>
        </w:tc>
        <w:tc>
          <w:tcPr>
            <w:tcW w:w="1562" w:type="pct"/>
          </w:tcPr>
          <w:p w14:paraId="7646868E" w14:textId="77777777" w:rsidR="0020145C" w:rsidRPr="004034DB" w:rsidRDefault="0020145C" w:rsidP="00FA5D20">
            <w:pPr>
              <w:pStyle w:val="Kolomtitel"/>
              <w:rPr>
                <w:sz w:val="20"/>
              </w:rPr>
            </w:pPr>
            <w:r w:rsidRPr="004034DB">
              <w:rPr>
                <w:sz w:val="20"/>
              </w:rPr>
              <w:t xml:space="preserve">Result </w:t>
            </w:r>
          </w:p>
        </w:tc>
        <w:tc>
          <w:tcPr>
            <w:tcW w:w="1041" w:type="pct"/>
          </w:tcPr>
          <w:p w14:paraId="73766F26" w14:textId="31FE9325" w:rsidR="0020145C" w:rsidRPr="004034DB" w:rsidRDefault="0020145C">
            <w:pPr>
              <w:pStyle w:val="Kolomtitel"/>
              <w:rPr>
                <w:sz w:val="20"/>
              </w:rPr>
            </w:pPr>
            <w:r>
              <w:rPr>
                <w:sz w:val="20"/>
              </w:rPr>
              <w:t xml:space="preserve">Quantitative </w:t>
            </w:r>
            <w:r w:rsidR="00E82995">
              <w:rPr>
                <w:sz w:val="20"/>
              </w:rPr>
              <w:t>measurement</w:t>
            </w:r>
          </w:p>
        </w:tc>
        <w:tc>
          <w:tcPr>
            <w:tcW w:w="2266" w:type="pct"/>
          </w:tcPr>
          <w:p w14:paraId="2192E9CF" w14:textId="0B5241A9" w:rsidR="0020145C" w:rsidRPr="004034DB" w:rsidRDefault="0020145C">
            <w:pPr>
              <w:pStyle w:val="Kolomtitel"/>
              <w:rPr>
                <w:sz w:val="20"/>
              </w:rPr>
            </w:pPr>
            <w:r>
              <w:rPr>
                <w:sz w:val="20"/>
              </w:rPr>
              <w:t xml:space="preserve">Qualitative </w:t>
            </w:r>
            <w:r w:rsidR="00E82995">
              <w:rPr>
                <w:sz w:val="20"/>
              </w:rPr>
              <w:t>measurement</w:t>
            </w:r>
          </w:p>
        </w:tc>
      </w:tr>
      <w:tr w:rsidR="0020145C" w:rsidRPr="004034DB" w14:paraId="387AA405" w14:textId="77777777" w:rsidTr="00454C7B">
        <w:tblPrEx>
          <w:tblCellMar>
            <w:top w:w="57" w:type="dxa"/>
            <w:left w:w="113" w:type="dxa"/>
            <w:bottom w:w="57" w:type="dxa"/>
            <w:right w:w="113" w:type="dxa"/>
          </w:tblCellMar>
        </w:tblPrEx>
        <w:trPr>
          <w:cantSplit/>
          <w:trHeight w:val="2324"/>
        </w:trPr>
        <w:tc>
          <w:tcPr>
            <w:tcW w:w="131" w:type="pct"/>
            <w:shd w:val="clear" w:color="auto" w:fill="auto"/>
          </w:tcPr>
          <w:p w14:paraId="259BCF23" w14:textId="77777777" w:rsidR="0020145C" w:rsidRPr="004034DB" w:rsidRDefault="0020145C" w:rsidP="00876341">
            <w:pPr>
              <w:autoSpaceDE w:val="0"/>
              <w:autoSpaceDN w:val="0"/>
              <w:adjustRightInd w:val="0"/>
              <w:rPr>
                <w:rFonts w:ascii="Calibri" w:hAnsi="Calibri" w:cs="FranklinGothicITCbyBT-Book"/>
                <w:sz w:val="20"/>
                <w:szCs w:val="20"/>
                <w:lang w:eastAsia="zh-CN"/>
              </w:rPr>
            </w:pPr>
          </w:p>
        </w:tc>
        <w:tc>
          <w:tcPr>
            <w:tcW w:w="1562" w:type="pct"/>
            <w:shd w:val="clear" w:color="auto" w:fill="auto"/>
          </w:tcPr>
          <w:p w14:paraId="387B702F" w14:textId="77777777" w:rsidR="0020145C" w:rsidRPr="00876341" w:rsidRDefault="0020145C" w:rsidP="00876341">
            <w:pPr>
              <w:pStyle w:val="Resultsub"/>
              <w:rPr>
                <w:b/>
                <w:color w:val="auto"/>
              </w:rPr>
            </w:pPr>
            <w:r w:rsidRPr="00876341">
              <w:rPr>
                <w:b/>
                <w:color w:val="auto"/>
              </w:rPr>
              <w:t>Adequate practice of new/improved</w:t>
            </w:r>
          </w:p>
          <w:p w14:paraId="6DF9BC67" w14:textId="78A9FA77" w:rsidR="0020145C" w:rsidRPr="00876341" w:rsidRDefault="0020145C" w:rsidP="00876341">
            <w:pPr>
              <w:pStyle w:val="Resultsub"/>
              <w:rPr>
                <w:b/>
                <w:color w:val="auto"/>
              </w:rPr>
            </w:pPr>
            <w:r w:rsidRPr="00876341">
              <w:rPr>
                <w:b/>
                <w:color w:val="auto"/>
              </w:rPr>
              <w:t>laws, policies, and societal norms</w:t>
            </w:r>
          </w:p>
          <w:p w14:paraId="556A5D35" w14:textId="77777777" w:rsidR="0020145C" w:rsidRDefault="0020145C" w:rsidP="00876341">
            <w:pPr>
              <w:pStyle w:val="Resultsub"/>
              <w:rPr>
                <w:color w:val="auto"/>
              </w:rPr>
            </w:pPr>
            <w:r w:rsidRPr="00876341">
              <w:rPr>
                <w:color w:val="auto"/>
              </w:rPr>
              <w:t>Proper implementation of, laws policies and norms with appropriate regulatory measures, courses of action, funding, quality assurance and evaluation</w:t>
            </w:r>
          </w:p>
          <w:p w14:paraId="19F0E21D" w14:textId="2040824B" w:rsidR="0020145C" w:rsidRDefault="0020145C" w:rsidP="00876341">
            <w:pPr>
              <w:pStyle w:val="Resultsub"/>
              <w:rPr>
                <w:color w:val="auto"/>
              </w:rPr>
            </w:pPr>
          </w:p>
          <w:p w14:paraId="65D32E17" w14:textId="6BA3C6BE" w:rsidR="00E82995" w:rsidRDefault="00E82995" w:rsidP="00876341">
            <w:pPr>
              <w:pStyle w:val="Resultsub"/>
              <w:rPr>
                <w:color w:val="auto"/>
              </w:rPr>
            </w:pPr>
          </w:p>
          <w:p w14:paraId="050C4EE1" w14:textId="77777777" w:rsidR="00E82995" w:rsidRDefault="00E82995" w:rsidP="00876341">
            <w:pPr>
              <w:pStyle w:val="Resultsub"/>
              <w:rPr>
                <w:color w:val="auto"/>
              </w:rPr>
            </w:pPr>
          </w:p>
          <w:p w14:paraId="3E61A3B4" w14:textId="77777777" w:rsidR="004A4110" w:rsidRDefault="004A4110" w:rsidP="00876341">
            <w:pPr>
              <w:pStyle w:val="Resultsub"/>
              <w:rPr>
                <w:color w:val="auto"/>
              </w:rPr>
            </w:pPr>
          </w:p>
          <w:p w14:paraId="10F48A64" w14:textId="65A33F2B" w:rsidR="0020145C" w:rsidRPr="004034DB" w:rsidRDefault="0020145C" w:rsidP="00E6444F">
            <w:pPr>
              <w:pStyle w:val="Resultsub"/>
              <w:rPr>
                <w:b/>
                <w:color w:val="auto"/>
              </w:rPr>
            </w:pPr>
            <w:r w:rsidRPr="004034DB">
              <w:rPr>
                <w:b/>
                <w:color w:val="auto"/>
              </w:rPr>
              <w:t>Inclusive legislation</w:t>
            </w:r>
            <w:r>
              <w:rPr>
                <w:b/>
                <w:color w:val="auto"/>
              </w:rPr>
              <w:t>,</w:t>
            </w:r>
            <w:r w:rsidRPr="004034DB">
              <w:rPr>
                <w:b/>
                <w:color w:val="auto"/>
              </w:rPr>
              <w:t xml:space="preserve"> policies</w:t>
            </w:r>
            <w:r w:rsidR="00DE3CCD">
              <w:rPr>
                <w:b/>
                <w:color w:val="auto"/>
              </w:rPr>
              <w:t xml:space="preserve">, </w:t>
            </w:r>
            <w:r>
              <w:rPr>
                <w:b/>
                <w:color w:val="auto"/>
              </w:rPr>
              <w:t>norms</w:t>
            </w:r>
            <w:r w:rsidR="00DE3CCD">
              <w:rPr>
                <w:b/>
                <w:color w:val="auto"/>
              </w:rPr>
              <w:t xml:space="preserve"> and attitudes</w:t>
            </w:r>
          </w:p>
          <w:p w14:paraId="106DC97D" w14:textId="77777777" w:rsidR="0020145C" w:rsidRPr="004034DB" w:rsidRDefault="0020145C" w:rsidP="00E6444F">
            <w:pPr>
              <w:pStyle w:val="Resultsub"/>
              <w:rPr>
                <w:color w:val="auto"/>
              </w:rPr>
            </w:pPr>
            <w:r>
              <w:rPr>
                <w:color w:val="auto"/>
              </w:rPr>
              <w:t>i</w:t>
            </w:r>
            <w:r w:rsidRPr="004034DB">
              <w:rPr>
                <w:color w:val="auto"/>
              </w:rPr>
              <w:t xml:space="preserve">n support of </w:t>
            </w:r>
            <w:r w:rsidRPr="00B6296A">
              <w:rPr>
                <w:color w:val="auto"/>
              </w:rPr>
              <w:t>marginalized people</w:t>
            </w:r>
            <w:r w:rsidRPr="004034DB">
              <w:rPr>
                <w:color w:val="auto"/>
              </w:rPr>
              <w:t xml:space="preserve"> to access their rights, services and opportunities. This is done through:</w:t>
            </w:r>
          </w:p>
          <w:p w14:paraId="1CBD4554" w14:textId="77777777" w:rsidR="0020145C" w:rsidRPr="00C77DA1" w:rsidRDefault="0020145C" w:rsidP="00E6444F">
            <w:pPr>
              <w:pStyle w:val="Resultsubsub"/>
              <w:ind w:left="2"/>
              <w:rPr>
                <w:i w:val="0"/>
                <w:color w:val="auto"/>
                <w:sz w:val="20"/>
                <w:szCs w:val="20"/>
              </w:rPr>
            </w:pPr>
          </w:p>
          <w:p w14:paraId="11492055" w14:textId="1AADE880" w:rsidR="0020145C" w:rsidRPr="00C77DA1" w:rsidRDefault="0020145C" w:rsidP="00E6444F">
            <w:pPr>
              <w:pStyle w:val="Resultsubsub"/>
              <w:ind w:left="2"/>
              <w:rPr>
                <w:color w:val="auto"/>
                <w:sz w:val="20"/>
                <w:szCs w:val="20"/>
              </w:rPr>
            </w:pPr>
            <w:r w:rsidRPr="00C77DA1">
              <w:rPr>
                <w:color w:val="auto"/>
                <w:sz w:val="20"/>
                <w:szCs w:val="20"/>
              </w:rPr>
              <w:t>Adoption</w:t>
            </w:r>
          </w:p>
          <w:p w14:paraId="3D6A06D7" w14:textId="77777777" w:rsidR="0020145C" w:rsidRPr="00E82995" w:rsidRDefault="0020145C" w:rsidP="00E6444F">
            <w:pPr>
              <w:pStyle w:val="Broodtekst"/>
              <w:ind w:left="2"/>
              <w:rPr>
                <w:rFonts w:ascii="Calibri" w:hAnsi="Calibri"/>
                <w:color w:val="auto"/>
                <w:sz w:val="20"/>
                <w:szCs w:val="20"/>
              </w:rPr>
            </w:pPr>
            <w:r w:rsidRPr="00E82995">
              <w:rPr>
                <w:rFonts w:ascii="Calibri" w:hAnsi="Calibri"/>
                <w:color w:val="auto"/>
                <w:sz w:val="20"/>
                <w:szCs w:val="20"/>
              </w:rPr>
              <w:t>Successful passing of a new law, policy or norm</w:t>
            </w:r>
          </w:p>
          <w:p w14:paraId="27953528" w14:textId="77777777" w:rsidR="0020145C" w:rsidRPr="00C77DA1" w:rsidRDefault="0020145C" w:rsidP="00E6444F">
            <w:pPr>
              <w:pStyle w:val="Resultsubsub"/>
              <w:ind w:left="2"/>
              <w:rPr>
                <w:color w:val="auto"/>
                <w:sz w:val="20"/>
                <w:szCs w:val="20"/>
              </w:rPr>
            </w:pPr>
            <w:r w:rsidRPr="00C77DA1">
              <w:rPr>
                <w:color w:val="auto"/>
                <w:sz w:val="20"/>
                <w:szCs w:val="20"/>
              </w:rPr>
              <w:t>Improvement</w:t>
            </w:r>
          </w:p>
          <w:p w14:paraId="22250B36" w14:textId="77777777" w:rsidR="0020145C" w:rsidRPr="00E82995" w:rsidRDefault="0020145C" w:rsidP="00E6444F">
            <w:pPr>
              <w:pStyle w:val="Broodtekst"/>
              <w:ind w:left="2"/>
              <w:rPr>
                <w:rFonts w:ascii="Calibri" w:hAnsi="Calibri"/>
                <w:color w:val="auto"/>
                <w:sz w:val="20"/>
                <w:szCs w:val="20"/>
              </w:rPr>
            </w:pPr>
            <w:r w:rsidRPr="00E82995">
              <w:rPr>
                <w:rFonts w:ascii="Calibri" w:hAnsi="Calibri"/>
                <w:color w:val="auto"/>
                <w:sz w:val="20"/>
                <w:szCs w:val="20"/>
              </w:rPr>
              <w:t>Successful passing of a proposal for an improvement of an existing law, policy or norm</w:t>
            </w:r>
          </w:p>
          <w:p w14:paraId="022BDBA1" w14:textId="77777777" w:rsidR="0020145C" w:rsidRPr="00C77DA1" w:rsidRDefault="0020145C" w:rsidP="00E6444F">
            <w:pPr>
              <w:pStyle w:val="Resultsubsub"/>
              <w:ind w:left="2"/>
              <w:rPr>
                <w:color w:val="auto"/>
                <w:sz w:val="20"/>
                <w:szCs w:val="20"/>
              </w:rPr>
            </w:pPr>
            <w:r w:rsidRPr="00C77DA1">
              <w:rPr>
                <w:color w:val="auto"/>
                <w:sz w:val="20"/>
                <w:szCs w:val="20"/>
              </w:rPr>
              <w:t>Blocking</w:t>
            </w:r>
          </w:p>
          <w:p w14:paraId="1B8DD063" w14:textId="67956E20" w:rsidR="0020145C" w:rsidRPr="00E620D6" w:rsidRDefault="0020145C" w:rsidP="00E6444F">
            <w:pPr>
              <w:pStyle w:val="BodyText"/>
              <w:spacing w:before="74" w:after="80" w:line="237" w:lineRule="auto"/>
              <w:ind w:right="362"/>
            </w:pPr>
            <w:r w:rsidRPr="004034DB">
              <w:rPr>
                <w:sz w:val="20"/>
                <w:szCs w:val="20"/>
              </w:rPr>
              <w:t>Successful opposition to a policy or law</w:t>
            </w:r>
            <w:r w:rsidRPr="004034DB">
              <w:rPr>
                <w:b/>
                <w:sz w:val="20"/>
                <w:szCs w:val="20"/>
              </w:rPr>
              <w:t>;</w:t>
            </w:r>
            <w:r w:rsidRPr="004034DB">
              <w:rPr>
                <w:sz w:val="20"/>
                <w:szCs w:val="20"/>
              </w:rPr>
              <w:t xml:space="preserve"> Preventing cuts or other negative changes to a law</w:t>
            </w:r>
            <w:r>
              <w:rPr>
                <w:sz w:val="20"/>
                <w:szCs w:val="20"/>
              </w:rPr>
              <w:t>, policy or norm</w:t>
            </w:r>
          </w:p>
        </w:tc>
        <w:tc>
          <w:tcPr>
            <w:tcW w:w="1041" w:type="pct"/>
            <w:shd w:val="clear" w:color="auto" w:fill="auto"/>
          </w:tcPr>
          <w:p w14:paraId="68AB559B" w14:textId="4B00565C" w:rsidR="00E82995" w:rsidRDefault="00E82995" w:rsidP="00C77DA1">
            <w:pPr>
              <w:pStyle w:val="Broodtekst"/>
              <w:rPr>
                <w:lang w:eastAsia="zh-CN"/>
              </w:rPr>
            </w:pPr>
            <w:r w:rsidRPr="00BB4AE7">
              <w:rPr>
                <w:rFonts w:ascii="Calibri" w:hAnsi="Calibri"/>
                <w:color w:val="auto"/>
                <w:sz w:val="20"/>
                <w:szCs w:val="20"/>
                <w:lang w:eastAsia="zh-CN"/>
              </w:rPr>
              <w:t># of laws, policies and norms,</w:t>
            </w:r>
            <w:r w:rsidRPr="003C0402">
              <w:rPr>
                <w:rFonts w:ascii="Calibri" w:hAnsi="Calibri"/>
                <w:color w:val="auto"/>
                <w:sz w:val="20"/>
                <w:szCs w:val="20"/>
                <w:lang w:eastAsia="zh-CN"/>
              </w:rPr>
              <w:t xml:space="preserve"> implemented for sustainable and inclusive development</w:t>
            </w:r>
            <w:r>
              <w:rPr>
                <w:rFonts w:ascii="Calibri" w:hAnsi="Calibri"/>
                <w:color w:val="auto"/>
                <w:sz w:val="20"/>
                <w:szCs w:val="20"/>
                <w:lang w:eastAsia="zh-CN"/>
              </w:rPr>
              <w:t>.</w:t>
            </w:r>
          </w:p>
          <w:p w14:paraId="64513601" w14:textId="1A72A47D" w:rsidR="00E82995" w:rsidRPr="00BC6692" w:rsidRDefault="00FE1690">
            <w:pPr>
              <w:pStyle w:val="Opsomming"/>
              <w:rPr>
                <w:lang w:eastAsia="zh-CN"/>
              </w:rPr>
            </w:pPr>
            <w:r>
              <w:rPr>
                <w:lang w:eastAsia="zh-CN"/>
              </w:rPr>
              <w:t>Explanation</w:t>
            </w:r>
            <w:r w:rsidR="00E82995" w:rsidRPr="00BC6692">
              <w:rPr>
                <w:lang w:eastAsia="zh-CN"/>
              </w:rPr>
              <w:t>:</w:t>
            </w:r>
          </w:p>
          <w:p w14:paraId="09E34881" w14:textId="77777777" w:rsidR="00E82995" w:rsidRPr="00BC6692" w:rsidRDefault="00E82995" w:rsidP="00E82995">
            <w:pPr>
              <w:pStyle w:val="Broodtekst"/>
              <w:rPr>
                <w:rFonts w:ascii="Calibri" w:hAnsi="Calibri"/>
                <w:color w:val="auto"/>
                <w:sz w:val="20"/>
                <w:szCs w:val="20"/>
              </w:rPr>
            </w:pPr>
            <w:r w:rsidRPr="00BC6692">
              <w:rPr>
                <w:rFonts w:ascii="Calibri" w:hAnsi="Calibri"/>
                <w:color w:val="auto"/>
                <w:sz w:val="20"/>
                <w:szCs w:val="20"/>
              </w:rPr>
              <w:t>number of concrete changes in practices of targeted governments, private sector and societal actors</w:t>
            </w:r>
          </w:p>
          <w:p w14:paraId="4209CBA8" w14:textId="77777777" w:rsidR="00E82995" w:rsidRDefault="00E82995" w:rsidP="00C77DA1">
            <w:pPr>
              <w:pStyle w:val="Broodtekst"/>
            </w:pPr>
          </w:p>
          <w:p w14:paraId="2D6D6E70" w14:textId="2922799D" w:rsidR="0020145C" w:rsidRPr="00C77DA1" w:rsidRDefault="0020145C" w:rsidP="00C77DA1">
            <w:pPr>
              <w:pStyle w:val="Broodtekst"/>
              <w:rPr>
                <w:lang w:eastAsia="zh-CN"/>
              </w:rPr>
            </w:pPr>
            <w:r w:rsidRPr="00C77DA1">
              <w:rPr>
                <w:rFonts w:ascii="Calibri" w:hAnsi="Calibri"/>
                <w:color w:val="auto"/>
                <w:sz w:val="20"/>
                <w:szCs w:val="20"/>
                <w:lang w:eastAsia="zh-CN"/>
              </w:rPr>
              <w:t># of laws, policies and norms</w:t>
            </w:r>
            <w:r w:rsidR="00DE3CCD">
              <w:rPr>
                <w:rFonts w:ascii="Calibri" w:hAnsi="Calibri"/>
                <w:color w:val="auto"/>
                <w:sz w:val="20"/>
                <w:szCs w:val="20"/>
                <w:lang w:eastAsia="zh-CN"/>
              </w:rPr>
              <w:t>/attitudes</w:t>
            </w:r>
            <w:r w:rsidRPr="00C77DA1">
              <w:rPr>
                <w:rFonts w:ascii="Calibri" w:hAnsi="Calibri"/>
                <w:color w:val="auto"/>
                <w:sz w:val="20"/>
                <w:szCs w:val="20"/>
                <w:lang w:eastAsia="zh-CN"/>
              </w:rPr>
              <w:t>, blocked, adopted, improved for sustainable and inclusive development</w:t>
            </w:r>
          </w:p>
          <w:p w14:paraId="499C0149" w14:textId="03B09982" w:rsidR="0020145C" w:rsidRPr="0020145C" w:rsidRDefault="00FE1690">
            <w:pPr>
              <w:pStyle w:val="Opsomming"/>
              <w:rPr>
                <w:lang w:eastAsia="zh-CN"/>
              </w:rPr>
            </w:pPr>
            <w:r>
              <w:rPr>
                <w:lang w:eastAsia="zh-CN"/>
              </w:rPr>
              <w:t>Explanation</w:t>
            </w:r>
            <w:r w:rsidR="0020145C" w:rsidRPr="0020145C">
              <w:rPr>
                <w:lang w:eastAsia="zh-CN"/>
              </w:rPr>
              <w:t>:</w:t>
            </w:r>
          </w:p>
          <w:p w14:paraId="7FB6279E" w14:textId="072AE3AF" w:rsidR="0020145C" w:rsidRPr="00C77DA1" w:rsidRDefault="0020145C" w:rsidP="00C77DA1">
            <w:pPr>
              <w:pStyle w:val="Broodtekst"/>
            </w:pPr>
            <w:r w:rsidRPr="00C77DA1">
              <w:rPr>
                <w:rFonts w:ascii="Calibri" w:hAnsi="Calibri"/>
                <w:color w:val="auto"/>
                <w:sz w:val="20"/>
                <w:szCs w:val="20"/>
              </w:rPr>
              <w:t>Number of concrete</w:t>
            </w:r>
            <w:r w:rsidR="00655CD3">
              <w:rPr>
                <w:rFonts w:ascii="Calibri" w:hAnsi="Calibri"/>
                <w:color w:val="auto"/>
                <w:sz w:val="20"/>
                <w:szCs w:val="20"/>
              </w:rPr>
              <w:t xml:space="preserve"> or significant</w:t>
            </w:r>
            <w:r w:rsidRPr="00C77DA1">
              <w:rPr>
                <w:rFonts w:ascii="Calibri" w:hAnsi="Calibri"/>
                <w:color w:val="auto"/>
                <w:sz w:val="20"/>
                <w:szCs w:val="20"/>
              </w:rPr>
              <w:t xml:space="preserve"> changes in laws, policies </w:t>
            </w:r>
            <w:r w:rsidR="00655CD3">
              <w:rPr>
                <w:rFonts w:ascii="Calibri" w:hAnsi="Calibri"/>
                <w:color w:val="auto"/>
                <w:sz w:val="20"/>
                <w:szCs w:val="20"/>
              </w:rPr>
              <w:t>and/</w:t>
            </w:r>
            <w:r w:rsidRPr="00C77DA1">
              <w:rPr>
                <w:rFonts w:ascii="Calibri" w:hAnsi="Calibri"/>
                <w:color w:val="auto"/>
                <w:sz w:val="20"/>
                <w:szCs w:val="20"/>
              </w:rPr>
              <w:t>or norms</w:t>
            </w:r>
            <w:r w:rsidR="00DE3CCD">
              <w:rPr>
                <w:rFonts w:ascii="Calibri" w:hAnsi="Calibri"/>
                <w:color w:val="auto"/>
                <w:sz w:val="20"/>
                <w:szCs w:val="20"/>
              </w:rPr>
              <w:t>/attitudes</w:t>
            </w:r>
          </w:p>
          <w:p w14:paraId="4F51F8EF" w14:textId="77777777" w:rsidR="0020145C" w:rsidRPr="0020145C" w:rsidRDefault="0020145C">
            <w:pPr>
              <w:pStyle w:val="Opsomming"/>
              <w:rPr>
                <w:lang w:val="en-US" w:eastAsia="zh-CN"/>
              </w:rPr>
            </w:pPr>
          </w:p>
          <w:p w14:paraId="4B68A4C4" w14:textId="77777777" w:rsidR="0020145C" w:rsidRPr="0020145C" w:rsidRDefault="0020145C">
            <w:pPr>
              <w:pStyle w:val="Opsomming"/>
              <w:rPr>
                <w:lang w:val="en-US" w:eastAsia="zh-CN"/>
              </w:rPr>
            </w:pPr>
          </w:p>
          <w:p w14:paraId="1A27E9DC" w14:textId="77777777" w:rsidR="0020145C" w:rsidRPr="0020145C" w:rsidRDefault="0020145C">
            <w:pPr>
              <w:pStyle w:val="Opsomming"/>
              <w:rPr>
                <w:lang w:val="en-US" w:eastAsia="zh-CN"/>
              </w:rPr>
            </w:pPr>
          </w:p>
          <w:p w14:paraId="0112096E" w14:textId="3D42269C" w:rsidR="0020145C" w:rsidRPr="0020145C" w:rsidRDefault="0020145C" w:rsidP="00C77DA1">
            <w:pPr>
              <w:pStyle w:val="Opsomming"/>
              <w:rPr>
                <w:lang w:val="en-US" w:eastAsia="zh-CN"/>
              </w:rPr>
            </w:pPr>
          </w:p>
        </w:tc>
        <w:tc>
          <w:tcPr>
            <w:tcW w:w="2266" w:type="pct"/>
            <w:shd w:val="clear" w:color="auto" w:fill="auto"/>
          </w:tcPr>
          <w:p w14:paraId="1F37D9ED" w14:textId="2773A27A" w:rsidR="00D4350D" w:rsidRDefault="0029141E" w:rsidP="00C77DA1">
            <w:pPr>
              <w:pStyle w:val="Opsomming"/>
            </w:pPr>
            <w:r>
              <w:rPr>
                <w:lang w:val="en-US"/>
              </w:rPr>
              <w:t>Explain</w:t>
            </w:r>
            <w:r w:rsidR="00FE1690">
              <w:rPr>
                <w:lang w:val="en-US"/>
              </w:rPr>
              <w:t xml:space="preserve"> how</w:t>
            </w:r>
            <w:r w:rsidR="00B17672">
              <w:rPr>
                <w:lang w:val="en-US"/>
              </w:rPr>
              <w:t>,</w:t>
            </w:r>
            <w:r w:rsidR="0020145C">
              <w:t xml:space="preserve"> </w:t>
            </w:r>
            <w:r w:rsidR="00B17672">
              <w:t xml:space="preserve">as a result of </w:t>
            </w:r>
            <w:r w:rsidR="004A4110">
              <w:t xml:space="preserve">CSO </w:t>
            </w:r>
            <w:r w:rsidR="00B17672">
              <w:t xml:space="preserve">L&amp;A activities, </w:t>
            </w:r>
            <w:r w:rsidR="0020145C">
              <w:t>governments, private sector and societal groups</w:t>
            </w:r>
            <w:r w:rsidR="00B17672">
              <w:t xml:space="preserve"> change their laws, policies</w:t>
            </w:r>
            <w:r w:rsidR="00414D7B">
              <w:t>,</w:t>
            </w:r>
            <w:r w:rsidR="00B17672">
              <w:t xml:space="preserve"> norms</w:t>
            </w:r>
            <w:r w:rsidR="004B76FD">
              <w:t>, attitudes</w:t>
            </w:r>
            <w:r w:rsidR="00414D7B">
              <w:t xml:space="preserve"> and practices</w:t>
            </w:r>
            <w:r w:rsidR="00B17672">
              <w:t xml:space="preserve"> </w:t>
            </w:r>
            <w:r w:rsidR="00414D7B">
              <w:t>to support sustainability and (gender)inclusiveness</w:t>
            </w:r>
            <w:r w:rsidR="00B45937">
              <w:t>.</w:t>
            </w:r>
            <w:r w:rsidR="00B17672">
              <w:t xml:space="preserve"> </w:t>
            </w:r>
            <w:r w:rsidR="004E5A4F">
              <w:t>F</w:t>
            </w:r>
            <w:r w:rsidR="00B45937">
              <w:t xml:space="preserve">rom a learning perspective, </w:t>
            </w:r>
            <w:r w:rsidR="004E5A4F">
              <w:t xml:space="preserve">please </w:t>
            </w:r>
            <w:r w:rsidR="00D4350D">
              <w:t xml:space="preserve">also consider </w:t>
            </w:r>
            <w:r w:rsidR="00B45937">
              <w:t>explaining</w:t>
            </w:r>
            <w:r w:rsidR="00D4350D">
              <w:t xml:space="preserve"> </w:t>
            </w:r>
            <w:r w:rsidR="00B45937">
              <w:t xml:space="preserve">cases where L&amp;A activities </w:t>
            </w:r>
            <w:r w:rsidR="004E5A4F">
              <w:t>did not result in</w:t>
            </w:r>
            <w:r w:rsidR="00B45937">
              <w:t xml:space="preserve"> the desired change</w:t>
            </w:r>
            <w:r w:rsidR="009745B9">
              <w:t xml:space="preserve">, and/or where </w:t>
            </w:r>
            <w:r w:rsidR="004A4110">
              <w:t>other actors (not CSOs) were more important for bringing about change</w:t>
            </w:r>
            <w:r w:rsidR="00B45937">
              <w:t>.</w:t>
            </w:r>
          </w:p>
          <w:p w14:paraId="3CB0121E" w14:textId="77777777" w:rsidR="00D4350D" w:rsidRDefault="00D4350D" w:rsidP="00C77DA1">
            <w:pPr>
              <w:pStyle w:val="Opsomming"/>
            </w:pPr>
          </w:p>
          <w:p w14:paraId="677607DF" w14:textId="61C6964A" w:rsidR="0020145C" w:rsidRDefault="00D4350D" w:rsidP="00C77DA1">
            <w:pPr>
              <w:pStyle w:val="Opsomming"/>
            </w:pPr>
            <w:r>
              <w:t>In answering</w:t>
            </w:r>
            <w:r w:rsidR="009B7C12">
              <w:t xml:space="preserve"> this question it helps to consider</w:t>
            </w:r>
            <w:r>
              <w:t>…</w:t>
            </w:r>
          </w:p>
          <w:p w14:paraId="35860773" w14:textId="7192C155" w:rsidR="008E19E8" w:rsidRDefault="00D4350D" w:rsidP="00C77DA1">
            <w:pPr>
              <w:pStyle w:val="BodyText"/>
              <w:numPr>
                <w:ilvl w:val="0"/>
                <w:numId w:val="17"/>
              </w:numPr>
              <w:spacing w:before="74" w:after="80" w:line="237" w:lineRule="auto"/>
              <w:ind w:right="362"/>
              <w:rPr>
                <w:sz w:val="20"/>
                <w:szCs w:val="20"/>
              </w:rPr>
            </w:pPr>
            <w:r>
              <w:rPr>
                <w:sz w:val="20"/>
                <w:szCs w:val="20"/>
              </w:rPr>
              <w:t>…d</w:t>
            </w:r>
            <w:r w:rsidR="00414D7B">
              <w:rPr>
                <w:sz w:val="20"/>
                <w:szCs w:val="20"/>
              </w:rPr>
              <w:t>escrib</w:t>
            </w:r>
            <w:r w:rsidR="009B7C12">
              <w:rPr>
                <w:sz w:val="20"/>
                <w:szCs w:val="20"/>
              </w:rPr>
              <w:t>ing the</w:t>
            </w:r>
            <w:r w:rsidR="0029141E" w:rsidRPr="008E19E8">
              <w:rPr>
                <w:sz w:val="20"/>
                <w:szCs w:val="20"/>
              </w:rPr>
              <w:t xml:space="preserve"> </w:t>
            </w:r>
            <w:r w:rsidR="00414D7B">
              <w:rPr>
                <w:sz w:val="20"/>
                <w:szCs w:val="20"/>
              </w:rPr>
              <w:t>content</w:t>
            </w:r>
            <w:r w:rsidR="0020145C" w:rsidRPr="008E19E8">
              <w:rPr>
                <w:sz w:val="20"/>
                <w:szCs w:val="20"/>
              </w:rPr>
              <w:t xml:space="preserve"> of law, policy</w:t>
            </w:r>
            <w:r w:rsidR="009B7C12">
              <w:rPr>
                <w:sz w:val="20"/>
                <w:szCs w:val="20"/>
              </w:rPr>
              <w:t>, attitude</w:t>
            </w:r>
            <w:r w:rsidR="0020145C" w:rsidRPr="008E19E8">
              <w:rPr>
                <w:sz w:val="20"/>
                <w:szCs w:val="20"/>
              </w:rPr>
              <w:t xml:space="preserve"> and norm changes </w:t>
            </w:r>
          </w:p>
          <w:p w14:paraId="126E7446" w14:textId="4066271E" w:rsidR="00414D7B" w:rsidRDefault="00D4350D" w:rsidP="00C77DA1">
            <w:pPr>
              <w:pStyle w:val="BodyText"/>
              <w:numPr>
                <w:ilvl w:val="0"/>
                <w:numId w:val="17"/>
              </w:numPr>
              <w:spacing w:before="74" w:after="80" w:line="237" w:lineRule="auto"/>
              <w:ind w:right="362"/>
              <w:rPr>
                <w:sz w:val="20"/>
                <w:szCs w:val="20"/>
              </w:rPr>
            </w:pPr>
            <w:r>
              <w:rPr>
                <w:sz w:val="20"/>
                <w:szCs w:val="20"/>
              </w:rPr>
              <w:t>…e</w:t>
            </w:r>
            <w:r w:rsidR="00414D7B">
              <w:rPr>
                <w:sz w:val="20"/>
                <w:szCs w:val="20"/>
              </w:rPr>
              <w:t>xplain</w:t>
            </w:r>
            <w:r w:rsidR="009B7C12">
              <w:rPr>
                <w:sz w:val="20"/>
                <w:szCs w:val="20"/>
              </w:rPr>
              <w:t>ing the</w:t>
            </w:r>
            <w:r w:rsidR="00414D7B">
              <w:rPr>
                <w:sz w:val="20"/>
                <w:szCs w:val="20"/>
              </w:rPr>
              <w:t xml:space="preserve"> advocacy process towards changes</w:t>
            </w:r>
            <w:r>
              <w:rPr>
                <w:sz w:val="20"/>
                <w:szCs w:val="20"/>
              </w:rPr>
              <w:t>, reflecting on</w:t>
            </w:r>
            <w:r w:rsidR="009B7C12">
              <w:rPr>
                <w:sz w:val="20"/>
                <w:szCs w:val="20"/>
              </w:rPr>
              <w:t xml:space="preserve"> successful and unsuccessful strategies</w:t>
            </w:r>
          </w:p>
          <w:p w14:paraId="6F5BD4E2" w14:textId="7660FF9A" w:rsidR="00414D7B" w:rsidRPr="003340DB" w:rsidRDefault="00D4350D" w:rsidP="00414D7B">
            <w:pPr>
              <w:pStyle w:val="BodyText"/>
              <w:numPr>
                <w:ilvl w:val="0"/>
                <w:numId w:val="17"/>
              </w:numPr>
              <w:spacing w:before="74" w:after="80" w:line="237" w:lineRule="auto"/>
              <w:ind w:right="362"/>
              <w:rPr>
                <w:sz w:val="20"/>
                <w:szCs w:val="20"/>
              </w:rPr>
            </w:pPr>
            <w:r>
              <w:rPr>
                <w:sz w:val="20"/>
                <w:szCs w:val="20"/>
              </w:rPr>
              <w:t>…d</w:t>
            </w:r>
            <w:r w:rsidR="00414D7B">
              <w:rPr>
                <w:sz w:val="20"/>
                <w:szCs w:val="20"/>
              </w:rPr>
              <w:t>escrib</w:t>
            </w:r>
            <w:r>
              <w:rPr>
                <w:sz w:val="20"/>
                <w:szCs w:val="20"/>
              </w:rPr>
              <w:t>ing the</w:t>
            </w:r>
            <w:r w:rsidR="00414D7B">
              <w:rPr>
                <w:sz w:val="20"/>
                <w:szCs w:val="20"/>
              </w:rPr>
              <w:t xml:space="preserve"> </w:t>
            </w:r>
            <w:r w:rsidR="00414D7B" w:rsidRPr="003340DB">
              <w:rPr>
                <w:sz w:val="20"/>
                <w:szCs w:val="20"/>
              </w:rPr>
              <w:t>implementation</w:t>
            </w:r>
            <w:r w:rsidR="00414D7B">
              <w:rPr>
                <w:sz w:val="20"/>
                <w:szCs w:val="20"/>
              </w:rPr>
              <w:t xml:space="preserve"> process</w:t>
            </w:r>
            <w:r w:rsidR="00414D7B" w:rsidRPr="003340DB">
              <w:rPr>
                <w:sz w:val="20"/>
                <w:szCs w:val="20"/>
              </w:rPr>
              <w:t xml:space="preserve"> and</w:t>
            </w:r>
            <w:r w:rsidR="00414D7B">
              <w:rPr>
                <w:sz w:val="20"/>
                <w:szCs w:val="20"/>
              </w:rPr>
              <w:t xml:space="preserve"> e</w:t>
            </w:r>
            <w:r w:rsidR="00414D7B" w:rsidRPr="003340DB">
              <w:rPr>
                <w:sz w:val="20"/>
                <w:szCs w:val="20"/>
              </w:rPr>
              <w:t xml:space="preserve">xtent of progress </w:t>
            </w:r>
          </w:p>
          <w:p w14:paraId="6C119B8D" w14:textId="3A402BC1" w:rsidR="0020145C" w:rsidRPr="008E19E8" w:rsidRDefault="00D4350D" w:rsidP="00C77DA1">
            <w:pPr>
              <w:pStyle w:val="BodyText"/>
              <w:numPr>
                <w:ilvl w:val="0"/>
                <w:numId w:val="17"/>
              </w:numPr>
              <w:spacing w:before="74" w:after="80" w:line="237" w:lineRule="auto"/>
              <w:ind w:right="362"/>
              <w:rPr>
                <w:sz w:val="20"/>
                <w:szCs w:val="20"/>
              </w:rPr>
            </w:pPr>
            <w:r>
              <w:rPr>
                <w:sz w:val="20"/>
                <w:szCs w:val="20"/>
              </w:rPr>
              <w:t>…e</w:t>
            </w:r>
            <w:r w:rsidR="00414D7B">
              <w:rPr>
                <w:sz w:val="20"/>
                <w:szCs w:val="20"/>
              </w:rPr>
              <w:t>xplain</w:t>
            </w:r>
            <w:r>
              <w:rPr>
                <w:sz w:val="20"/>
                <w:szCs w:val="20"/>
              </w:rPr>
              <w:t>ing</w:t>
            </w:r>
            <w:r w:rsidR="00414D7B">
              <w:rPr>
                <w:sz w:val="20"/>
                <w:szCs w:val="20"/>
              </w:rPr>
              <w:t xml:space="preserve"> advocacy process towards implementation</w:t>
            </w:r>
            <w:r>
              <w:rPr>
                <w:sz w:val="20"/>
                <w:szCs w:val="20"/>
              </w:rPr>
              <w:t>, reflecting on successful and unsuccessful strategies</w:t>
            </w:r>
          </w:p>
          <w:p w14:paraId="2672D267" w14:textId="77777777" w:rsidR="00CF249E" w:rsidRDefault="00CF249E" w:rsidP="00C77DA1">
            <w:pPr>
              <w:pStyle w:val="Opsomming"/>
            </w:pPr>
          </w:p>
          <w:p w14:paraId="1FA9491C" w14:textId="235857F8" w:rsidR="00CF249E" w:rsidRDefault="009745B9" w:rsidP="00C77DA1">
            <w:pPr>
              <w:pStyle w:val="Opsomming"/>
            </w:pPr>
            <w:r>
              <w:t>Link to D&amp;D ToC:</w:t>
            </w:r>
          </w:p>
          <w:p w14:paraId="5ACC49F3" w14:textId="7A1A7667" w:rsidR="00CF249E" w:rsidRDefault="00CF249E" w:rsidP="00CF249E">
            <w:pPr>
              <w:pStyle w:val="BodyText"/>
              <w:numPr>
                <w:ilvl w:val="0"/>
                <w:numId w:val="17"/>
              </w:numPr>
              <w:spacing w:before="74" w:after="80" w:line="237" w:lineRule="auto"/>
              <w:ind w:right="362"/>
              <w:rPr>
                <w:sz w:val="20"/>
                <w:szCs w:val="20"/>
              </w:rPr>
            </w:pPr>
            <w:r>
              <w:rPr>
                <w:sz w:val="20"/>
                <w:szCs w:val="20"/>
              </w:rPr>
              <w:t xml:space="preserve">Chapter 1 </w:t>
            </w:r>
            <w:r w:rsidR="00D4350D">
              <w:rPr>
                <w:sz w:val="20"/>
                <w:szCs w:val="20"/>
              </w:rPr>
              <w:t xml:space="preserve">- </w:t>
            </w:r>
            <w:r w:rsidR="000E0E2E">
              <w:rPr>
                <w:sz w:val="20"/>
                <w:szCs w:val="20"/>
              </w:rPr>
              <w:t xml:space="preserve">explains </w:t>
            </w:r>
            <w:r>
              <w:rPr>
                <w:sz w:val="20"/>
                <w:szCs w:val="20"/>
              </w:rPr>
              <w:t>main aim and focus</w:t>
            </w:r>
          </w:p>
          <w:p w14:paraId="0781892C" w14:textId="6E3DDBAC" w:rsidR="00CF249E" w:rsidRPr="008E19E8" w:rsidRDefault="00CF249E" w:rsidP="00CF249E">
            <w:pPr>
              <w:pStyle w:val="BodyText"/>
              <w:numPr>
                <w:ilvl w:val="0"/>
                <w:numId w:val="17"/>
              </w:numPr>
              <w:spacing w:before="74" w:after="80" w:line="237" w:lineRule="auto"/>
              <w:ind w:right="362"/>
              <w:rPr>
                <w:sz w:val="20"/>
                <w:szCs w:val="20"/>
              </w:rPr>
            </w:pPr>
            <w:r>
              <w:rPr>
                <w:sz w:val="20"/>
                <w:szCs w:val="20"/>
              </w:rPr>
              <w:t xml:space="preserve">Chapter 5 </w:t>
            </w:r>
            <w:r w:rsidR="00D4350D">
              <w:rPr>
                <w:sz w:val="20"/>
                <w:szCs w:val="20"/>
              </w:rPr>
              <w:t xml:space="preserve">- </w:t>
            </w:r>
            <w:r w:rsidR="000E0E2E">
              <w:rPr>
                <w:sz w:val="20"/>
                <w:szCs w:val="20"/>
              </w:rPr>
              <w:t xml:space="preserve">explains </w:t>
            </w:r>
            <w:r>
              <w:rPr>
                <w:sz w:val="20"/>
                <w:szCs w:val="20"/>
              </w:rPr>
              <w:t xml:space="preserve">the advocacy </w:t>
            </w:r>
            <w:r w:rsidR="00D4350D">
              <w:rPr>
                <w:sz w:val="20"/>
                <w:szCs w:val="20"/>
              </w:rPr>
              <w:t>process</w:t>
            </w:r>
          </w:p>
          <w:p w14:paraId="0F93E9BD" w14:textId="1F5ECE2F" w:rsidR="0020145C" w:rsidRPr="004034DB" w:rsidRDefault="0020145C" w:rsidP="00C77DA1">
            <w:pPr>
              <w:pStyle w:val="Opsomming"/>
              <w:rPr>
                <w:lang w:eastAsia="zh-CN"/>
              </w:rPr>
            </w:pPr>
          </w:p>
        </w:tc>
      </w:tr>
      <w:tr w:rsidR="002977B2" w:rsidRPr="004034DB" w14:paraId="65499C34" w14:textId="77777777" w:rsidTr="00C77DA1">
        <w:tc>
          <w:tcPr>
            <w:tcW w:w="131" w:type="pct"/>
            <w:shd w:val="clear" w:color="auto" w:fill="E4E9EF" w:themeFill="background2"/>
          </w:tcPr>
          <w:p w14:paraId="737D0925" w14:textId="4417BF51" w:rsidR="002977B2" w:rsidRPr="004034DB" w:rsidRDefault="002977B2" w:rsidP="00AC706F">
            <w:pPr>
              <w:pStyle w:val="Niveau"/>
              <w:rPr>
                <w:color w:val="auto"/>
              </w:rPr>
            </w:pPr>
            <w:r w:rsidRPr="004034DB">
              <w:rPr>
                <w:color w:val="auto"/>
              </w:rPr>
              <w:br w:type="page"/>
              <w:t>3</w:t>
            </w:r>
          </w:p>
        </w:tc>
        <w:tc>
          <w:tcPr>
            <w:tcW w:w="4869" w:type="pct"/>
            <w:gridSpan w:val="3"/>
            <w:shd w:val="clear" w:color="auto" w:fill="E4E9EF" w:themeFill="background2"/>
          </w:tcPr>
          <w:p w14:paraId="1ED4D059" w14:textId="476A7630" w:rsidR="002977B2" w:rsidRPr="004034DB" w:rsidRDefault="00D40F9A">
            <w:pPr>
              <w:pStyle w:val="Niveau"/>
              <w:rPr>
                <w:color w:val="auto"/>
              </w:rPr>
            </w:pPr>
            <w:r w:rsidRPr="004034DB">
              <w:rPr>
                <w:rStyle w:val="Grijs"/>
                <w:b/>
                <w:color w:val="auto"/>
              </w:rPr>
              <w:t xml:space="preserve"> </w:t>
            </w:r>
            <w:r w:rsidR="0093791D">
              <w:rPr>
                <w:rStyle w:val="Grijs"/>
                <w:b/>
                <w:color w:val="auto"/>
              </w:rPr>
              <w:t xml:space="preserve">Towards </w:t>
            </w:r>
            <w:r w:rsidR="00C45D47">
              <w:rPr>
                <w:rStyle w:val="Grijs"/>
                <w:b/>
                <w:color w:val="auto"/>
              </w:rPr>
              <w:t>improved</w:t>
            </w:r>
            <w:r w:rsidR="00AA3CFA">
              <w:rPr>
                <w:rStyle w:val="Grijs"/>
                <w:b/>
                <w:color w:val="auto"/>
              </w:rPr>
              <w:t xml:space="preserve"> </w:t>
            </w:r>
            <w:r w:rsidR="00414D7B">
              <w:rPr>
                <w:rStyle w:val="Grijs"/>
                <w:b/>
                <w:color w:val="auto"/>
              </w:rPr>
              <w:t xml:space="preserve">laws, </w:t>
            </w:r>
            <w:r w:rsidR="00272697">
              <w:rPr>
                <w:rStyle w:val="Grijs"/>
                <w:b/>
                <w:color w:val="auto"/>
              </w:rPr>
              <w:t>policies</w:t>
            </w:r>
            <w:r w:rsidR="00C45D47">
              <w:rPr>
                <w:rStyle w:val="Grijs"/>
                <w:b/>
                <w:color w:val="auto"/>
              </w:rPr>
              <w:t xml:space="preserve">, </w:t>
            </w:r>
            <w:r w:rsidR="00414D7B">
              <w:rPr>
                <w:rStyle w:val="Grijs"/>
                <w:b/>
                <w:color w:val="auto"/>
              </w:rPr>
              <w:t>norms</w:t>
            </w:r>
            <w:r w:rsidR="00C45D47">
              <w:rPr>
                <w:rStyle w:val="Grijs"/>
                <w:b/>
                <w:color w:val="auto"/>
              </w:rPr>
              <w:t xml:space="preserve"> and practices</w:t>
            </w:r>
          </w:p>
        </w:tc>
      </w:tr>
      <w:tr w:rsidR="002977B2" w:rsidRPr="004034DB" w14:paraId="33EDFB22" w14:textId="77777777" w:rsidTr="00C77DA1">
        <w:tblPrEx>
          <w:tblCellMar>
            <w:top w:w="57" w:type="dxa"/>
            <w:left w:w="113" w:type="dxa"/>
            <w:bottom w:w="57" w:type="dxa"/>
            <w:right w:w="113" w:type="dxa"/>
          </w:tblCellMar>
        </w:tblPrEx>
        <w:trPr>
          <w:cantSplit/>
        </w:trPr>
        <w:tc>
          <w:tcPr>
            <w:tcW w:w="131" w:type="pct"/>
            <w:shd w:val="clear" w:color="auto" w:fill="auto"/>
          </w:tcPr>
          <w:p w14:paraId="53FA67BB" w14:textId="77777777" w:rsidR="002977B2" w:rsidRPr="004034DB" w:rsidRDefault="002977B2" w:rsidP="00DE7E57">
            <w:pPr>
              <w:pStyle w:val="Resultmain"/>
              <w:rPr>
                <w:color w:val="FFFFFF" w:themeColor="background1"/>
              </w:rPr>
            </w:pPr>
          </w:p>
        </w:tc>
        <w:tc>
          <w:tcPr>
            <w:tcW w:w="4869" w:type="pct"/>
            <w:gridSpan w:val="3"/>
            <w:shd w:val="clear" w:color="auto" w:fill="7096D2" w:themeFill="text2" w:themeFillTint="99"/>
          </w:tcPr>
          <w:p w14:paraId="486A5FE7" w14:textId="5B7DD3C8" w:rsidR="002977B2" w:rsidRPr="004034DB" w:rsidRDefault="00272697">
            <w:pPr>
              <w:pStyle w:val="Resultmain"/>
              <w:rPr>
                <w:color w:val="FFFFFF" w:themeColor="background1"/>
              </w:rPr>
            </w:pPr>
            <w:r w:rsidRPr="00876341">
              <w:rPr>
                <w:color w:val="FFFFFF" w:themeColor="background1"/>
              </w:rPr>
              <w:t>Government, private s</w:t>
            </w:r>
            <w:r>
              <w:rPr>
                <w:color w:val="FFFFFF" w:themeColor="background1"/>
              </w:rPr>
              <w:t>ector and societal groups s</w:t>
            </w:r>
            <w:r w:rsidRPr="00876341">
              <w:rPr>
                <w:color w:val="FFFFFF" w:themeColor="background1"/>
              </w:rPr>
              <w:t>t</w:t>
            </w:r>
            <w:r>
              <w:rPr>
                <w:color w:val="FFFFFF" w:themeColor="background1"/>
              </w:rPr>
              <w:t>art listening to CSO</w:t>
            </w:r>
            <w:r w:rsidR="00586C1E">
              <w:rPr>
                <w:color w:val="FFFFFF" w:themeColor="background1"/>
              </w:rPr>
              <w:t xml:space="preserve"> demands</w:t>
            </w:r>
          </w:p>
        </w:tc>
      </w:tr>
      <w:tr w:rsidR="0020145C" w:rsidRPr="004034DB" w14:paraId="5FFFE5F6" w14:textId="77777777" w:rsidTr="00454C7B">
        <w:trPr>
          <w:trHeight w:val="24"/>
        </w:trPr>
        <w:tc>
          <w:tcPr>
            <w:tcW w:w="131" w:type="pct"/>
          </w:tcPr>
          <w:p w14:paraId="4BC81580" w14:textId="77777777" w:rsidR="0020145C" w:rsidRPr="004034DB" w:rsidRDefault="0020145C" w:rsidP="00FA5D20">
            <w:pPr>
              <w:pStyle w:val="Kolomtitel"/>
              <w:rPr>
                <w:sz w:val="20"/>
              </w:rPr>
            </w:pPr>
          </w:p>
        </w:tc>
        <w:tc>
          <w:tcPr>
            <w:tcW w:w="1562" w:type="pct"/>
          </w:tcPr>
          <w:p w14:paraId="55EDBAA5" w14:textId="77777777" w:rsidR="0020145C" w:rsidRPr="004034DB" w:rsidRDefault="0020145C" w:rsidP="00FA5D20">
            <w:pPr>
              <w:pStyle w:val="Kolomtitel"/>
              <w:rPr>
                <w:sz w:val="20"/>
              </w:rPr>
            </w:pPr>
            <w:r w:rsidRPr="004034DB">
              <w:rPr>
                <w:sz w:val="20"/>
              </w:rPr>
              <w:t xml:space="preserve">Result </w:t>
            </w:r>
          </w:p>
        </w:tc>
        <w:tc>
          <w:tcPr>
            <w:tcW w:w="1041" w:type="pct"/>
          </w:tcPr>
          <w:p w14:paraId="4FE649ED" w14:textId="7D93E17C" w:rsidR="0020145C" w:rsidRPr="004034DB" w:rsidRDefault="0020145C">
            <w:pPr>
              <w:pStyle w:val="Kolomtitel"/>
              <w:rPr>
                <w:sz w:val="20"/>
              </w:rPr>
            </w:pPr>
            <w:r>
              <w:rPr>
                <w:sz w:val="20"/>
              </w:rPr>
              <w:t xml:space="preserve">Quantitative </w:t>
            </w:r>
            <w:r w:rsidR="00E82995">
              <w:rPr>
                <w:sz w:val="20"/>
              </w:rPr>
              <w:t>MEASUREMENT</w:t>
            </w:r>
          </w:p>
        </w:tc>
        <w:tc>
          <w:tcPr>
            <w:tcW w:w="2266" w:type="pct"/>
          </w:tcPr>
          <w:p w14:paraId="50AEE123" w14:textId="2D3E4F54" w:rsidR="0020145C" w:rsidRPr="004034DB" w:rsidRDefault="0020145C" w:rsidP="00FA5D20">
            <w:pPr>
              <w:pStyle w:val="Kolomtitel"/>
              <w:rPr>
                <w:sz w:val="20"/>
              </w:rPr>
            </w:pPr>
            <w:r>
              <w:rPr>
                <w:sz w:val="20"/>
              </w:rPr>
              <w:t xml:space="preserve">Qualitative </w:t>
            </w:r>
            <w:r w:rsidR="00E82995">
              <w:rPr>
                <w:sz w:val="20"/>
              </w:rPr>
              <w:t>MEASUREMENT</w:t>
            </w:r>
          </w:p>
        </w:tc>
      </w:tr>
      <w:tr w:rsidR="0020145C" w:rsidRPr="004034DB" w14:paraId="613F8B3A" w14:textId="77777777" w:rsidTr="00454C7B">
        <w:tblPrEx>
          <w:tblCellMar>
            <w:top w:w="57" w:type="dxa"/>
            <w:left w:w="113" w:type="dxa"/>
            <w:bottom w:w="57" w:type="dxa"/>
            <w:right w:w="113" w:type="dxa"/>
          </w:tblCellMar>
        </w:tblPrEx>
        <w:trPr>
          <w:cantSplit/>
          <w:trHeight w:val="2157"/>
        </w:trPr>
        <w:tc>
          <w:tcPr>
            <w:tcW w:w="131" w:type="pct"/>
            <w:shd w:val="clear" w:color="auto" w:fill="auto"/>
          </w:tcPr>
          <w:p w14:paraId="7725FDEF" w14:textId="77777777" w:rsidR="0020145C" w:rsidRPr="004034DB" w:rsidRDefault="0020145C" w:rsidP="006A3C2D">
            <w:pPr>
              <w:pStyle w:val="Broodtekst"/>
              <w:rPr>
                <w:rFonts w:ascii="Calibri" w:hAnsi="Calibri"/>
                <w:color w:val="auto"/>
                <w:sz w:val="20"/>
                <w:szCs w:val="20"/>
              </w:rPr>
            </w:pPr>
          </w:p>
        </w:tc>
        <w:tc>
          <w:tcPr>
            <w:tcW w:w="1562" w:type="pct"/>
            <w:shd w:val="clear" w:color="auto" w:fill="auto"/>
          </w:tcPr>
          <w:p w14:paraId="07C5F2E2" w14:textId="75303482" w:rsidR="00C45D47" w:rsidRDefault="00C45D47" w:rsidP="003E4A23">
            <w:pPr>
              <w:pStyle w:val="Resultsub"/>
              <w:rPr>
                <w:b/>
                <w:color w:val="auto"/>
              </w:rPr>
            </w:pPr>
            <w:r>
              <w:rPr>
                <w:b/>
                <w:color w:val="auto"/>
              </w:rPr>
              <w:t>CSO involvement</w:t>
            </w:r>
          </w:p>
          <w:p w14:paraId="58574E25" w14:textId="602164E4" w:rsidR="00C45D47" w:rsidRPr="00C77DA1" w:rsidRDefault="00C45D47" w:rsidP="003E4A23">
            <w:pPr>
              <w:pStyle w:val="Resultsub"/>
              <w:rPr>
                <w:color w:val="auto"/>
              </w:rPr>
            </w:pPr>
            <w:r>
              <w:rPr>
                <w:color w:val="auto"/>
              </w:rPr>
              <w:t>Advocacy activities of CSOs start having effect in the sense that their demands are being heard and that they are involved in decision making processes of targeted actors. This is shows in:</w:t>
            </w:r>
          </w:p>
          <w:p w14:paraId="12D802FD" w14:textId="77777777" w:rsidR="00C45D47" w:rsidRDefault="00C45D47" w:rsidP="003E4A23">
            <w:pPr>
              <w:pStyle w:val="Resultsub"/>
              <w:rPr>
                <w:b/>
                <w:color w:val="auto"/>
              </w:rPr>
            </w:pPr>
          </w:p>
          <w:p w14:paraId="774E8604" w14:textId="5BF2F619" w:rsidR="0020145C" w:rsidRPr="00C77DA1" w:rsidRDefault="0020145C" w:rsidP="003E4A23">
            <w:pPr>
              <w:pStyle w:val="Resultsub"/>
              <w:rPr>
                <w:i/>
                <w:color w:val="auto"/>
              </w:rPr>
            </w:pPr>
            <w:r w:rsidRPr="00C77DA1">
              <w:rPr>
                <w:i/>
                <w:color w:val="auto"/>
              </w:rPr>
              <w:t>Creating space to engage</w:t>
            </w:r>
          </w:p>
          <w:p w14:paraId="782B62D3" w14:textId="4A7617F7" w:rsidR="0020145C" w:rsidRDefault="0020145C" w:rsidP="003E4A23">
            <w:pPr>
              <w:pStyle w:val="Resultsub"/>
              <w:rPr>
                <w:color w:val="auto"/>
              </w:rPr>
            </w:pPr>
            <w:r w:rsidRPr="004034DB">
              <w:rPr>
                <w:color w:val="auto"/>
              </w:rPr>
              <w:t xml:space="preserve">Policy procedures and decision-making processes </w:t>
            </w:r>
            <w:r w:rsidR="00C45D47">
              <w:rPr>
                <w:color w:val="auto"/>
              </w:rPr>
              <w:t>becom</w:t>
            </w:r>
            <w:r w:rsidR="00AD2DBC">
              <w:rPr>
                <w:color w:val="auto"/>
              </w:rPr>
              <w:t>e</w:t>
            </w:r>
            <w:r w:rsidR="00C45D47" w:rsidRPr="004034DB">
              <w:rPr>
                <w:color w:val="auto"/>
              </w:rPr>
              <w:t xml:space="preserve"> </w:t>
            </w:r>
            <w:r w:rsidRPr="004034DB">
              <w:rPr>
                <w:color w:val="auto"/>
              </w:rPr>
              <w:t>inclusive to (the concerns, rights and ambitions of) specific societal groups</w:t>
            </w:r>
            <w:r w:rsidR="00C45D47">
              <w:rPr>
                <w:color w:val="auto"/>
              </w:rPr>
              <w:t xml:space="preserve"> represented by CSOs</w:t>
            </w:r>
          </w:p>
          <w:p w14:paraId="30A07405" w14:textId="77777777" w:rsidR="0020145C" w:rsidRDefault="0020145C" w:rsidP="003E4A23">
            <w:pPr>
              <w:pStyle w:val="Resultsub"/>
              <w:rPr>
                <w:color w:val="auto"/>
              </w:rPr>
            </w:pPr>
          </w:p>
          <w:p w14:paraId="2CA53E18" w14:textId="77777777" w:rsidR="0020145C" w:rsidRPr="00C77DA1" w:rsidRDefault="0020145C" w:rsidP="0018765B">
            <w:pPr>
              <w:pStyle w:val="Resultsub"/>
              <w:rPr>
                <w:i/>
                <w:color w:val="auto"/>
              </w:rPr>
            </w:pPr>
            <w:r w:rsidRPr="00C77DA1">
              <w:rPr>
                <w:i/>
                <w:color w:val="auto"/>
              </w:rPr>
              <w:t>Influencing the debate</w:t>
            </w:r>
          </w:p>
          <w:p w14:paraId="2FF909F5" w14:textId="32C69EF2" w:rsidR="0020145C" w:rsidRDefault="00C45D47" w:rsidP="0018765B">
            <w:pPr>
              <w:pStyle w:val="Resultsub"/>
              <w:rPr>
                <w:color w:val="auto"/>
              </w:rPr>
            </w:pPr>
            <w:r>
              <w:rPr>
                <w:color w:val="auto"/>
              </w:rPr>
              <w:t>Targeted actors a</w:t>
            </w:r>
            <w:r w:rsidR="0020145C" w:rsidRPr="004034DB">
              <w:rPr>
                <w:color w:val="auto"/>
              </w:rPr>
              <w:t>dopt</w:t>
            </w:r>
            <w:r>
              <w:rPr>
                <w:color w:val="auto"/>
              </w:rPr>
              <w:t xml:space="preserve"> CSO</w:t>
            </w:r>
            <w:r w:rsidR="0020145C" w:rsidRPr="004034DB">
              <w:rPr>
                <w:color w:val="auto"/>
              </w:rPr>
              <w:t xml:space="preserve"> terminology, rhetoric and framing</w:t>
            </w:r>
          </w:p>
          <w:p w14:paraId="6FFD450C" w14:textId="77777777" w:rsidR="0020145C" w:rsidRDefault="0020145C" w:rsidP="0018765B">
            <w:pPr>
              <w:pStyle w:val="Resultsub"/>
              <w:rPr>
                <w:color w:val="auto"/>
              </w:rPr>
            </w:pPr>
          </w:p>
          <w:p w14:paraId="364C7CE2" w14:textId="5F7D1E6C" w:rsidR="0020145C" w:rsidRPr="00C77DA1" w:rsidRDefault="0020145C" w:rsidP="0018765B">
            <w:pPr>
              <w:pStyle w:val="Resultsub"/>
              <w:rPr>
                <w:i/>
                <w:color w:val="auto"/>
              </w:rPr>
            </w:pPr>
            <w:r w:rsidRPr="00C77DA1">
              <w:rPr>
                <w:i/>
                <w:color w:val="auto"/>
              </w:rPr>
              <w:t>Agenda setting</w:t>
            </w:r>
          </w:p>
          <w:p w14:paraId="1355F3C8" w14:textId="3C0B54A8" w:rsidR="0020145C" w:rsidRPr="004034DB" w:rsidRDefault="00C45D47">
            <w:pPr>
              <w:pStyle w:val="Resultsub"/>
              <w:rPr>
                <w:color w:val="auto"/>
              </w:rPr>
            </w:pPr>
            <w:r>
              <w:rPr>
                <w:color w:val="auto"/>
              </w:rPr>
              <w:t>Targeted actors p</w:t>
            </w:r>
            <w:r w:rsidR="0020145C" w:rsidRPr="004034DB">
              <w:rPr>
                <w:color w:val="auto"/>
              </w:rPr>
              <w:t>lac</w:t>
            </w:r>
            <w:r w:rsidR="00AD2DBC">
              <w:rPr>
                <w:color w:val="auto"/>
              </w:rPr>
              <w:t>e</w:t>
            </w:r>
            <w:r w:rsidR="0020145C" w:rsidRPr="004034DB">
              <w:rPr>
                <w:color w:val="auto"/>
              </w:rPr>
              <w:t xml:space="preserve"> </w:t>
            </w:r>
            <w:r>
              <w:rPr>
                <w:color w:val="auto"/>
              </w:rPr>
              <w:t>CSO issues</w:t>
            </w:r>
            <w:r w:rsidRPr="004034DB">
              <w:rPr>
                <w:color w:val="auto"/>
              </w:rPr>
              <w:t xml:space="preserve"> </w:t>
            </w:r>
            <w:r w:rsidR="0020145C" w:rsidRPr="004034DB">
              <w:rPr>
                <w:color w:val="auto"/>
              </w:rPr>
              <w:t>on the agenda</w:t>
            </w:r>
          </w:p>
        </w:tc>
        <w:tc>
          <w:tcPr>
            <w:tcW w:w="1041" w:type="pct"/>
            <w:shd w:val="clear" w:color="auto" w:fill="auto"/>
          </w:tcPr>
          <w:p w14:paraId="2AED4491" w14:textId="011039D4" w:rsidR="0020145C" w:rsidRPr="00C77DA1" w:rsidRDefault="0020145C" w:rsidP="00C77DA1">
            <w:pPr>
              <w:pStyle w:val="Broodtekst"/>
            </w:pPr>
            <w:r w:rsidRPr="00C77DA1">
              <w:rPr>
                <w:rFonts w:ascii="Calibri" w:hAnsi="Calibri"/>
                <w:color w:val="auto"/>
                <w:sz w:val="20"/>
                <w:szCs w:val="20"/>
              </w:rPr>
              <w:t># of times that CSOs succeed in creating space for CSO demands and positions through agenda setting, influencing the debate and/or creating space to engage.</w:t>
            </w:r>
          </w:p>
          <w:p w14:paraId="42D1FD7E" w14:textId="77777777" w:rsidR="004A4110" w:rsidRDefault="004A4110" w:rsidP="0020145C">
            <w:pPr>
              <w:pStyle w:val="Broodtekst"/>
              <w:rPr>
                <w:rFonts w:ascii="Calibri" w:hAnsi="Calibri"/>
                <w:color w:val="auto"/>
                <w:sz w:val="20"/>
                <w:szCs w:val="20"/>
              </w:rPr>
            </w:pPr>
          </w:p>
          <w:p w14:paraId="7F250B03" w14:textId="77E173AF" w:rsidR="0020145C" w:rsidRPr="0020145C" w:rsidRDefault="00FE1690" w:rsidP="0020145C">
            <w:pPr>
              <w:pStyle w:val="Broodtekst"/>
              <w:rPr>
                <w:rFonts w:ascii="Calibri" w:hAnsi="Calibri"/>
                <w:color w:val="auto"/>
                <w:sz w:val="20"/>
                <w:szCs w:val="20"/>
              </w:rPr>
            </w:pPr>
            <w:r>
              <w:rPr>
                <w:rFonts w:ascii="Calibri" w:hAnsi="Calibri"/>
                <w:color w:val="auto"/>
                <w:sz w:val="20"/>
                <w:szCs w:val="20"/>
              </w:rPr>
              <w:t>Explanation</w:t>
            </w:r>
            <w:r w:rsidR="0020145C" w:rsidRPr="0020145C">
              <w:rPr>
                <w:rFonts w:ascii="Calibri" w:hAnsi="Calibri"/>
                <w:color w:val="auto"/>
                <w:sz w:val="20"/>
                <w:szCs w:val="20"/>
              </w:rPr>
              <w:t>:</w:t>
            </w:r>
          </w:p>
          <w:p w14:paraId="462AB98F" w14:textId="7D5FB4F1" w:rsidR="0020145C" w:rsidRPr="0020145C" w:rsidRDefault="0020145C" w:rsidP="0020145C">
            <w:pPr>
              <w:pStyle w:val="Broodtekst"/>
              <w:rPr>
                <w:rFonts w:ascii="Calibri" w:hAnsi="Calibri"/>
                <w:color w:val="auto"/>
                <w:sz w:val="20"/>
                <w:szCs w:val="20"/>
              </w:rPr>
            </w:pPr>
            <w:r w:rsidRPr="0020145C">
              <w:rPr>
                <w:rFonts w:ascii="Calibri" w:hAnsi="Calibri"/>
                <w:color w:val="auto"/>
                <w:sz w:val="20"/>
                <w:szCs w:val="20"/>
              </w:rPr>
              <w:t>Number of times L&amp;A targets include CSOs in the decision making process + number of times L&amp;A targets react upon the positions of the CSOs by adopting their argumentation and terminology + number of times L&amp;A targets react upon the positions of CSOs by putting their issues on the agenda</w:t>
            </w:r>
          </w:p>
          <w:p w14:paraId="6EB2FF3D" w14:textId="3DEE4BFD" w:rsidR="0020145C" w:rsidRPr="0020145C" w:rsidRDefault="0020145C" w:rsidP="0020145C">
            <w:pPr>
              <w:pStyle w:val="Broodtekst"/>
              <w:rPr>
                <w:rFonts w:ascii="Calibri" w:hAnsi="Calibri"/>
                <w:color w:val="auto"/>
                <w:sz w:val="20"/>
                <w:szCs w:val="20"/>
              </w:rPr>
            </w:pPr>
          </w:p>
          <w:p w14:paraId="71F67873" w14:textId="66872C97" w:rsidR="0020145C" w:rsidRPr="0020145C" w:rsidRDefault="0020145C">
            <w:pPr>
              <w:pStyle w:val="Opsomming"/>
            </w:pPr>
          </w:p>
        </w:tc>
        <w:tc>
          <w:tcPr>
            <w:tcW w:w="2266" w:type="pct"/>
            <w:shd w:val="clear" w:color="auto" w:fill="auto"/>
          </w:tcPr>
          <w:p w14:paraId="6C8ED2C8" w14:textId="09072A8B" w:rsidR="004A4110" w:rsidRDefault="0029141E" w:rsidP="004A4110">
            <w:pPr>
              <w:pStyle w:val="Opsomming"/>
            </w:pPr>
            <w:r>
              <w:t>Explain</w:t>
            </w:r>
            <w:r w:rsidR="00FE1690">
              <w:t xml:space="preserve"> how</w:t>
            </w:r>
            <w:r w:rsidR="0020145C">
              <w:t xml:space="preserve"> CSOs have played a transformative role in decision making processes</w:t>
            </w:r>
            <w:r w:rsidR="00ED6303">
              <w:t xml:space="preserve"> through </w:t>
            </w:r>
            <w:r w:rsidR="00ED6303" w:rsidRPr="00BB4AE7">
              <w:t>agenda setting, influencing the debate and/or creating space to engage.</w:t>
            </w:r>
            <w:r w:rsidR="004E5A4F">
              <w:t xml:space="preserve"> F</w:t>
            </w:r>
            <w:r w:rsidR="00B45937">
              <w:t xml:space="preserve">rom a learning perspective, </w:t>
            </w:r>
            <w:r w:rsidR="004E5A4F">
              <w:t xml:space="preserve">please </w:t>
            </w:r>
            <w:r w:rsidR="00B45937">
              <w:t>also consider explaining cases where CSOs were unable to play a transformative</w:t>
            </w:r>
            <w:r w:rsidR="004A4110">
              <w:t>, and/or where other actors (not CSOs) were more important for this.</w:t>
            </w:r>
          </w:p>
          <w:p w14:paraId="16F6245B" w14:textId="33EA8E35" w:rsidR="0020145C" w:rsidRDefault="0020145C">
            <w:pPr>
              <w:pStyle w:val="Opsomming"/>
            </w:pPr>
          </w:p>
          <w:p w14:paraId="7705FEC3" w14:textId="77777777" w:rsidR="00D4350D" w:rsidRDefault="00D4350D" w:rsidP="00D4350D">
            <w:pPr>
              <w:pStyle w:val="Opsomming"/>
            </w:pPr>
            <w:r>
              <w:t>In answering this question it helps to consider…</w:t>
            </w:r>
          </w:p>
          <w:p w14:paraId="5581A87A" w14:textId="5820B2E9" w:rsidR="00ED6303" w:rsidRPr="004034DB" w:rsidRDefault="00D4350D" w:rsidP="00C77DA1">
            <w:pPr>
              <w:pStyle w:val="Opsomming"/>
              <w:numPr>
                <w:ilvl w:val="0"/>
                <w:numId w:val="21"/>
              </w:numPr>
              <w:ind w:left="340"/>
            </w:pPr>
            <w:r>
              <w:t>…e</w:t>
            </w:r>
            <w:r w:rsidR="0029141E">
              <w:t>xplain</w:t>
            </w:r>
            <w:r>
              <w:t>ing</w:t>
            </w:r>
            <w:r w:rsidR="0029141E">
              <w:t xml:space="preserve"> h</w:t>
            </w:r>
            <w:r w:rsidR="00B17672">
              <w:t>ow</w:t>
            </w:r>
            <w:r w:rsidR="0020145C" w:rsidRPr="004034DB">
              <w:t xml:space="preserve"> CSO involvement </w:t>
            </w:r>
            <w:r w:rsidR="00AD2DBC" w:rsidRPr="004034DB">
              <w:t>change</w:t>
            </w:r>
            <w:r w:rsidR="00AD2DBC">
              <w:t>s</w:t>
            </w:r>
            <w:r w:rsidR="00AD2DBC" w:rsidRPr="004034DB">
              <w:t xml:space="preserve"> </w:t>
            </w:r>
            <w:r w:rsidR="00B17672" w:rsidRPr="004034DB">
              <w:t xml:space="preserve">decision making </w:t>
            </w:r>
            <w:r w:rsidR="00B17672">
              <w:t xml:space="preserve">processes </w:t>
            </w:r>
            <w:r w:rsidR="00B17672" w:rsidRPr="004034DB">
              <w:t>and policy discussions</w:t>
            </w:r>
            <w:r w:rsidR="00B17672">
              <w:t xml:space="preserve"> of</w:t>
            </w:r>
            <w:r w:rsidR="00B17672" w:rsidRPr="004034DB">
              <w:t xml:space="preserve"> targeted government</w:t>
            </w:r>
            <w:r w:rsidR="00B17672">
              <w:t>,</w:t>
            </w:r>
            <w:r w:rsidR="00B17672" w:rsidRPr="004034DB">
              <w:t xml:space="preserve"> private sector </w:t>
            </w:r>
            <w:r w:rsidR="00B17672">
              <w:t xml:space="preserve">and societal actors </w:t>
            </w:r>
          </w:p>
          <w:p w14:paraId="41023B45" w14:textId="75F034BE" w:rsidR="00ED6303" w:rsidRDefault="00D4350D" w:rsidP="00C77DA1">
            <w:pPr>
              <w:pStyle w:val="Opsomming"/>
              <w:numPr>
                <w:ilvl w:val="0"/>
                <w:numId w:val="21"/>
              </w:numPr>
              <w:ind w:left="340"/>
            </w:pPr>
            <w:r>
              <w:t>…e</w:t>
            </w:r>
            <w:r w:rsidR="0029141E">
              <w:t>xplain</w:t>
            </w:r>
            <w:r>
              <w:t>ing</w:t>
            </w:r>
            <w:r w:rsidR="0029141E">
              <w:t xml:space="preserve"> h</w:t>
            </w:r>
            <w:r w:rsidR="0020145C">
              <w:t>ow</w:t>
            </w:r>
            <w:r w:rsidR="0020145C" w:rsidRPr="004034DB">
              <w:t xml:space="preserve"> </w:t>
            </w:r>
            <w:r w:rsidR="00EE4018">
              <w:t xml:space="preserve">and what </w:t>
            </w:r>
            <w:r w:rsidR="0020145C" w:rsidRPr="004034DB">
              <w:t xml:space="preserve">frames introduced by </w:t>
            </w:r>
            <w:r w:rsidR="00AD2DBC">
              <w:t xml:space="preserve">CSOs </w:t>
            </w:r>
            <w:r w:rsidR="0020145C" w:rsidRPr="004034DB">
              <w:t xml:space="preserve">are taken up </w:t>
            </w:r>
            <w:r w:rsidR="0020145C">
              <w:t>by targeted actors, for instance by the media,</w:t>
            </w:r>
            <w:r w:rsidR="0020145C" w:rsidRPr="004034DB">
              <w:t xml:space="preserve"> </w:t>
            </w:r>
            <w:r w:rsidR="0020145C">
              <w:t xml:space="preserve">in </w:t>
            </w:r>
            <w:r w:rsidR="0020145C" w:rsidRPr="004034DB">
              <w:t xml:space="preserve">policy documents and </w:t>
            </w:r>
            <w:r w:rsidR="0020145C">
              <w:t xml:space="preserve">in </w:t>
            </w:r>
            <w:r w:rsidR="00AD2DBC">
              <w:t xml:space="preserve">official </w:t>
            </w:r>
            <w:r w:rsidR="0020145C" w:rsidRPr="004034DB">
              <w:t xml:space="preserve">speeches </w:t>
            </w:r>
          </w:p>
          <w:p w14:paraId="1FB37AA9" w14:textId="2E084D87" w:rsidR="00ED6303" w:rsidRDefault="00D4350D" w:rsidP="00C77DA1">
            <w:pPr>
              <w:pStyle w:val="Opsomming"/>
              <w:numPr>
                <w:ilvl w:val="0"/>
                <w:numId w:val="21"/>
              </w:numPr>
              <w:ind w:left="340"/>
            </w:pPr>
            <w:r>
              <w:t>…e</w:t>
            </w:r>
            <w:r w:rsidR="0029141E">
              <w:t>xplain</w:t>
            </w:r>
            <w:r>
              <w:t>ing</w:t>
            </w:r>
            <w:r w:rsidR="0029141E">
              <w:t xml:space="preserve"> h</w:t>
            </w:r>
            <w:r w:rsidR="00B17672">
              <w:t xml:space="preserve">ow and what CSO issues reach the agenda of </w:t>
            </w:r>
            <w:r w:rsidR="00B17672" w:rsidRPr="004034DB">
              <w:t>targeted government</w:t>
            </w:r>
            <w:r w:rsidR="00B17672">
              <w:t>,</w:t>
            </w:r>
            <w:r w:rsidR="00B17672" w:rsidRPr="004034DB">
              <w:t xml:space="preserve"> private sector </w:t>
            </w:r>
            <w:r w:rsidR="00B17672">
              <w:t>and societal actors</w:t>
            </w:r>
          </w:p>
          <w:p w14:paraId="213BAF41" w14:textId="77777777" w:rsidR="00CF249E" w:rsidRDefault="00CF249E" w:rsidP="00C77DA1">
            <w:pPr>
              <w:pStyle w:val="Opsomming"/>
            </w:pPr>
          </w:p>
          <w:p w14:paraId="4F764AB6" w14:textId="456E81A8" w:rsidR="00CF249E" w:rsidRDefault="009745B9" w:rsidP="00C77DA1">
            <w:pPr>
              <w:pStyle w:val="Opsomming"/>
            </w:pPr>
            <w:r>
              <w:t>Link to D&amp;D ToC:</w:t>
            </w:r>
          </w:p>
          <w:p w14:paraId="6B84D07F" w14:textId="7B7B6E7C" w:rsidR="00CF249E" w:rsidRPr="004034DB" w:rsidRDefault="00CF249E" w:rsidP="00D4350D">
            <w:pPr>
              <w:pStyle w:val="Opsomming"/>
              <w:numPr>
                <w:ilvl w:val="0"/>
                <w:numId w:val="23"/>
              </w:numPr>
              <w:ind w:left="314"/>
            </w:pPr>
            <w:r>
              <w:t>Chapter 5</w:t>
            </w:r>
            <w:r w:rsidR="00D4350D">
              <w:t xml:space="preserve"> -</w:t>
            </w:r>
            <w:r>
              <w:t xml:space="preserve"> </w:t>
            </w:r>
            <w:r w:rsidR="003328AB">
              <w:t>s</w:t>
            </w:r>
            <w:r>
              <w:t>pecific</w:t>
            </w:r>
            <w:r w:rsidR="00D4350D">
              <w:t>ally</w:t>
            </w:r>
            <w:r>
              <w:t xml:space="preserve"> the five cumulative stages of change (p. 20 last paragraph)</w:t>
            </w:r>
          </w:p>
        </w:tc>
      </w:tr>
    </w:tbl>
    <w:p w14:paraId="554E519E" w14:textId="77777777" w:rsidR="002977B2" w:rsidRPr="004034DB" w:rsidRDefault="00723321">
      <w:pPr>
        <w:rPr>
          <w:rFonts w:ascii="Calibri" w:hAnsi="Calibri"/>
          <w:sz w:val="20"/>
          <w:szCs w:val="20"/>
        </w:rPr>
      </w:pPr>
      <w:r w:rsidRPr="004034DB">
        <w:rPr>
          <w:rFonts w:ascii="Calibri" w:hAnsi="Calibri"/>
          <w:b/>
          <w:caps/>
          <w:sz w:val="20"/>
          <w:szCs w:val="20"/>
        </w:rPr>
        <w:t xml:space="preserve"> </w:t>
      </w:r>
      <w:r w:rsidR="002977B2" w:rsidRPr="004034DB">
        <w:rPr>
          <w:rFonts w:ascii="Calibri" w:hAnsi="Calibri"/>
          <w:b/>
          <w:caps/>
          <w:sz w:val="20"/>
          <w:szCs w:val="20"/>
        </w:rPr>
        <w:br w:type="page"/>
      </w:r>
    </w:p>
    <w:tbl>
      <w:tblPr>
        <w:tblStyle w:val="TableGrid"/>
        <w:tblW w:w="5000" w:type="pct"/>
        <w:tblLayout w:type="fixed"/>
        <w:tblCellMar>
          <w:top w:w="57" w:type="dxa"/>
          <w:left w:w="113" w:type="dxa"/>
          <w:bottom w:w="57" w:type="dxa"/>
          <w:right w:w="113" w:type="dxa"/>
        </w:tblCellMar>
        <w:tblLook w:val="04A0" w:firstRow="1" w:lastRow="0" w:firstColumn="1" w:lastColumn="0" w:noHBand="0" w:noVBand="1"/>
      </w:tblPr>
      <w:tblGrid>
        <w:gridCol w:w="418"/>
        <w:gridCol w:w="4578"/>
        <w:gridCol w:w="3070"/>
        <w:gridCol w:w="6777"/>
      </w:tblGrid>
      <w:tr w:rsidR="00FE1690" w:rsidRPr="004034DB" w14:paraId="00C2C7A7" w14:textId="77777777" w:rsidTr="00FE1690">
        <w:trPr>
          <w:cantSplit/>
        </w:trPr>
        <w:tc>
          <w:tcPr>
            <w:tcW w:w="141" w:type="pct"/>
            <w:shd w:val="clear" w:color="auto" w:fill="DFE3F0" w:themeFill="accent1" w:themeFillTint="33"/>
          </w:tcPr>
          <w:p w14:paraId="389E0B77" w14:textId="77777777" w:rsidR="00FE1690" w:rsidRPr="004034DB" w:rsidRDefault="00FE1690" w:rsidP="00AC706F">
            <w:pPr>
              <w:pStyle w:val="Niveau"/>
              <w:rPr>
                <w:color w:val="auto"/>
              </w:rPr>
            </w:pPr>
            <w:r w:rsidRPr="004034DB">
              <w:rPr>
                <w:color w:val="auto"/>
              </w:rPr>
              <w:lastRenderedPageBreak/>
              <w:t>4</w:t>
            </w:r>
          </w:p>
        </w:tc>
        <w:tc>
          <w:tcPr>
            <w:tcW w:w="4859" w:type="pct"/>
            <w:gridSpan w:val="3"/>
            <w:shd w:val="clear" w:color="auto" w:fill="DFE3F0" w:themeFill="accent1" w:themeFillTint="33"/>
          </w:tcPr>
          <w:p w14:paraId="5AF193DF" w14:textId="67378E31" w:rsidR="00FE1690" w:rsidRPr="004034DB" w:rsidRDefault="00FE1690" w:rsidP="00AC706F">
            <w:pPr>
              <w:pStyle w:val="Niveau"/>
              <w:rPr>
                <w:color w:val="auto"/>
              </w:rPr>
            </w:pPr>
            <w:r w:rsidRPr="004034DB">
              <w:rPr>
                <w:rStyle w:val="Grijs"/>
                <w:b/>
                <w:color w:val="auto"/>
              </w:rPr>
              <w:t xml:space="preserve">civil society </w:t>
            </w:r>
            <w:r>
              <w:rPr>
                <w:rStyle w:val="Grijs"/>
                <w:b/>
                <w:color w:val="auto"/>
              </w:rPr>
              <w:t>Engagement</w:t>
            </w:r>
            <w:r w:rsidRPr="004034DB">
              <w:rPr>
                <w:rStyle w:val="Grijs"/>
                <w:b/>
                <w:color w:val="auto"/>
              </w:rPr>
              <w:t xml:space="preserve"> </w:t>
            </w:r>
          </w:p>
        </w:tc>
      </w:tr>
      <w:tr w:rsidR="0093791D" w:rsidRPr="004034DB" w14:paraId="14832D8D" w14:textId="77777777" w:rsidTr="00C77DA1">
        <w:trPr>
          <w:cantSplit/>
        </w:trPr>
        <w:tc>
          <w:tcPr>
            <w:tcW w:w="141" w:type="pct"/>
            <w:shd w:val="clear" w:color="auto" w:fill="auto"/>
          </w:tcPr>
          <w:p w14:paraId="4B720BE3" w14:textId="77777777" w:rsidR="0093791D" w:rsidRPr="004034DB" w:rsidRDefault="0093791D" w:rsidP="00DE7E57">
            <w:pPr>
              <w:pStyle w:val="Resultmain"/>
              <w:rPr>
                <w:color w:val="FFFFFF" w:themeColor="background1"/>
              </w:rPr>
            </w:pPr>
          </w:p>
        </w:tc>
        <w:tc>
          <w:tcPr>
            <w:tcW w:w="4859" w:type="pct"/>
            <w:gridSpan w:val="3"/>
            <w:shd w:val="clear" w:color="auto" w:fill="7096D2" w:themeFill="text2" w:themeFillTint="99"/>
          </w:tcPr>
          <w:p w14:paraId="713EE279" w14:textId="09CC98C4" w:rsidR="0093791D" w:rsidRPr="004034DB" w:rsidRDefault="0093791D" w:rsidP="00DE7E57">
            <w:pPr>
              <w:pStyle w:val="Resultmain"/>
              <w:rPr>
                <w:color w:val="FFFFFF" w:themeColor="background1"/>
              </w:rPr>
            </w:pPr>
            <w:r w:rsidRPr="004034DB">
              <w:rPr>
                <w:color w:val="FFFFFF" w:themeColor="background1"/>
              </w:rPr>
              <w:t>CSOs lobby and advocate</w:t>
            </w:r>
          </w:p>
        </w:tc>
      </w:tr>
      <w:tr w:rsidR="0020145C" w:rsidRPr="004034DB" w14:paraId="7A03DA21" w14:textId="77777777" w:rsidTr="00454C7B">
        <w:trPr>
          <w:cantSplit/>
          <w:trHeight w:val="24"/>
        </w:trPr>
        <w:tc>
          <w:tcPr>
            <w:tcW w:w="141" w:type="pct"/>
            <w:shd w:val="clear" w:color="auto" w:fill="auto"/>
            <w:tcMar>
              <w:bottom w:w="57" w:type="dxa"/>
            </w:tcMar>
            <w:vAlign w:val="bottom"/>
          </w:tcPr>
          <w:p w14:paraId="07773BCA" w14:textId="77777777" w:rsidR="0020145C" w:rsidRPr="004034DB" w:rsidRDefault="0020145C" w:rsidP="00FA5D20">
            <w:pPr>
              <w:pStyle w:val="Kolomtitel"/>
              <w:rPr>
                <w:sz w:val="20"/>
              </w:rPr>
            </w:pPr>
          </w:p>
        </w:tc>
        <w:tc>
          <w:tcPr>
            <w:tcW w:w="1542" w:type="pct"/>
            <w:shd w:val="clear" w:color="auto" w:fill="F2F2F2" w:themeFill="background1" w:themeFillShade="F2"/>
            <w:tcMar>
              <w:bottom w:w="57" w:type="dxa"/>
            </w:tcMar>
            <w:vAlign w:val="bottom"/>
          </w:tcPr>
          <w:p w14:paraId="5B287C47" w14:textId="34BC27FD" w:rsidR="0020145C" w:rsidRPr="004034DB" w:rsidRDefault="0020145C" w:rsidP="00FA5D20">
            <w:pPr>
              <w:pStyle w:val="Kolomtitel"/>
              <w:rPr>
                <w:sz w:val="20"/>
              </w:rPr>
            </w:pPr>
            <w:r w:rsidRPr="004034DB">
              <w:rPr>
                <w:sz w:val="20"/>
              </w:rPr>
              <w:t xml:space="preserve">Result </w:t>
            </w:r>
          </w:p>
        </w:tc>
        <w:tc>
          <w:tcPr>
            <w:tcW w:w="1034" w:type="pct"/>
            <w:shd w:val="clear" w:color="auto" w:fill="F2F2F2" w:themeFill="background1" w:themeFillShade="F2"/>
            <w:tcMar>
              <w:bottom w:w="57" w:type="dxa"/>
            </w:tcMar>
            <w:vAlign w:val="bottom"/>
          </w:tcPr>
          <w:p w14:paraId="11C8DE38" w14:textId="5FE81082" w:rsidR="0020145C" w:rsidRPr="004034DB" w:rsidRDefault="0020145C" w:rsidP="00FA5D20">
            <w:pPr>
              <w:pStyle w:val="Kolomtitel"/>
              <w:rPr>
                <w:sz w:val="20"/>
              </w:rPr>
            </w:pPr>
            <w:r>
              <w:rPr>
                <w:sz w:val="20"/>
              </w:rPr>
              <w:t xml:space="preserve">Quantitative </w:t>
            </w:r>
            <w:r w:rsidR="00E82995">
              <w:rPr>
                <w:sz w:val="20"/>
              </w:rPr>
              <w:t>MEASUREMENT</w:t>
            </w:r>
          </w:p>
        </w:tc>
        <w:tc>
          <w:tcPr>
            <w:tcW w:w="2283" w:type="pct"/>
            <w:shd w:val="clear" w:color="auto" w:fill="F2F2F2" w:themeFill="background1" w:themeFillShade="F2"/>
            <w:tcMar>
              <w:bottom w:w="57" w:type="dxa"/>
            </w:tcMar>
            <w:vAlign w:val="bottom"/>
          </w:tcPr>
          <w:p w14:paraId="6201CC34" w14:textId="64CE3493" w:rsidR="0020145C" w:rsidRPr="004034DB" w:rsidRDefault="0020145C" w:rsidP="00FA5D20">
            <w:pPr>
              <w:pStyle w:val="Kolomtitel"/>
              <w:rPr>
                <w:sz w:val="20"/>
              </w:rPr>
            </w:pPr>
            <w:r>
              <w:rPr>
                <w:sz w:val="20"/>
              </w:rPr>
              <w:t xml:space="preserve">Qualitative </w:t>
            </w:r>
            <w:r w:rsidR="00E82995">
              <w:rPr>
                <w:sz w:val="20"/>
              </w:rPr>
              <w:t>MEASUREMENT</w:t>
            </w:r>
          </w:p>
        </w:tc>
      </w:tr>
      <w:tr w:rsidR="00AD2DBC" w:rsidRPr="004034DB" w14:paraId="717BA0FF" w14:textId="77777777" w:rsidTr="00454C7B">
        <w:trPr>
          <w:cantSplit/>
          <w:trHeight w:val="3979"/>
        </w:trPr>
        <w:tc>
          <w:tcPr>
            <w:tcW w:w="141" w:type="pct"/>
            <w:shd w:val="clear" w:color="auto" w:fill="auto"/>
          </w:tcPr>
          <w:p w14:paraId="00D40BC5" w14:textId="77777777" w:rsidR="00AD2DBC" w:rsidRPr="004034DB" w:rsidRDefault="00AD2DBC" w:rsidP="006A3C2D">
            <w:pPr>
              <w:pStyle w:val="Broodtekst"/>
              <w:rPr>
                <w:rFonts w:ascii="Calibri" w:hAnsi="Calibri"/>
                <w:color w:val="auto"/>
                <w:sz w:val="20"/>
                <w:szCs w:val="20"/>
              </w:rPr>
            </w:pPr>
          </w:p>
        </w:tc>
        <w:tc>
          <w:tcPr>
            <w:tcW w:w="1542" w:type="pct"/>
            <w:shd w:val="clear" w:color="auto" w:fill="auto"/>
          </w:tcPr>
          <w:p w14:paraId="28AEEC9D" w14:textId="1BC0D0EA" w:rsidR="00AD2DBC" w:rsidRDefault="00AD2DBC" w:rsidP="006A3C2D">
            <w:pPr>
              <w:pStyle w:val="Resultsub"/>
              <w:rPr>
                <w:b/>
                <w:color w:val="auto"/>
              </w:rPr>
            </w:pPr>
            <w:r>
              <w:rPr>
                <w:b/>
                <w:color w:val="auto"/>
              </w:rPr>
              <w:t>CSO advocacy</w:t>
            </w:r>
          </w:p>
          <w:p w14:paraId="4B63DA1C" w14:textId="4BFFC9B2" w:rsidR="00AD2DBC" w:rsidRDefault="00AD2DBC" w:rsidP="006A3C2D">
            <w:pPr>
              <w:pStyle w:val="Resultsub"/>
              <w:rPr>
                <w:b/>
                <w:color w:val="auto"/>
              </w:rPr>
            </w:pPr>
            <w:r w:rsidRPr="00C77DA1">
              <w:rPr>
                <w:color w:val="auto"/>
              </w:rPr>
              <w:t>CSOs activate and educate citizens, mobilise support, and employ advocacy initiatives</w:t>
            </w:r>
            <w:r>
              <w:rPr>
                <w:color w:val="auto"/>
              </w:rPr>
              <w:t>. This shows in:</w:t>
            </w:r>
          </w:p>
          <w:p w14:paraId="588C2933" w14:textId="77777777" w:rsidR="00AD2DBC" w:rsidRDefault="00AD2DBC" w:rsidP="006A3C2D">
            <w:pPr>
              <w:pStyle w:val="Resultsub"/>
              <w:rPr>
                <w:b/>
                <w:color w:val="auto"/>
              </w:rPr>
            </w:pPr>
          </w:p>
          <w:p w14:paraId="61D427B5" w14:textId="07335D3A" w:rsidR="00AD2DBC" w:rsidRPr="00C77DA1" w:rsidRDefault="00AD2DBC" w:rsidP="006A3C2D">
            <w:pPr>
              <w:pStyle w:val="Resultsub"/>
              <w:rPr>
                <w:i/>
                <w:color w:val="auto"/>
              </w:rPr>
            </w:pPr>
            <w:r w:rsidRPr="00C77DA1">
              <w:rPr>
                <w:i/>
                <w:color w:val="auto"/>
              </w:rPr>
              <w:t>Political participation</w:t>
            </w:r>
          </w:p>
          <w:p w14:paraId="00A5AF28" w14:textId="55C3D413" w:rsidR="00AD2DBC" w:rsidRPr="004034DB" w:rsidRDefault="00AD2DBC" w:rsidP="00381F8D">
            <w:pPr>
              <w:pStyle w:val="Broodtekst"/>
              <w:rPr>
                <w:rFonts w:ascii="Calibri" w:hAnsi="Calibri"/>
                <w:color w:val="auto"/>
                <w:sz w:val="20"/>
                <w:szCs w:val="20"/>
              </w:rPr>
            </w:pPr>
            <w:r>
              <w:rPr>
                <w:rFonts w:ascii="Calibri" w:hAnsi="Calibri"/>
                <w:color w:val="auto"/>
                <w:sz w:val="20"/>
                <w:szCs w:val="20"/>
              </w:rPr>
              <w:t>CSOs a</w:t>
            </w:r>
            <w:r w:rsidRPr="004034DB">
              <w:rPr>
                <w:rFonts w:ascii="Calibri" w:hAnsi="Calibri"/>
                <w:color w:val="auto"/>
                <w:sz w:val="20"/>
                <w:szCs w:val="20"/>
              </w:rPr>
              <w:t>dvise, pressure and persua</w:t>
            </w:r>
            <w:r>
              <w:rPr>
                <w:rFonts w:ascii="Calibri" w:hAnsi="Calibri"/>
                <w:color w:val="auto"/>
                <w:sz w:val="20"/>
                <w:szCs w:val="20"/>
              </w:rPr>
              <w:t>de</w:t>
            </w:r>
            <w:r w:rsidRPr="004034DB">
              <w:rPr>
                <w:rFonts w:ascii="Calibri" w:hAnsi="Calibri"/>
                <w:color w:val="auto"/>
                <w:sz w:val="20"/>
                <w:szCs w:val="20"/>
              </w:rPr>
              <w:t xml:space="preserve"> state officials, private sector representatives, </w:t>
            </w:r>
            <w:r>
              <w:rPr>
                <w:rFonts w:ascii="Calibri" w:hAnsi="Calibri"/>
                <w:color w:val="auto"/>
                <w:sz w:val="20"/>
                <w:szCs w:val="20"/>
              </w:rPr>
              <w:t>societal actors</w:t>
            </w:r>
            <w:r w:rsidRPr="004034DB">
              <w:rPr>
                <w:rFonts w:ascii="Calibri" w:hAnsi="Calibri"/>
                <w:color w:val="auto"/>
                <w:sz w:val="20"/>
                <w:szCs w:val="20"/>
              </w:rPr>
              <w:t xml:space="preserve">, multi-stakeholder platforms and </w:t>
            </w:r>
            <w:r>
              <w:rPr>
                <w:rFonts w:ascii="Calibri" w:hAnsi="Calibri"/>
                <w:color w:val="auto"/>
                <w:sz w:val="20"/>
                <w:szCs w:val="20"/>
              </w:rPr>
              <w:t xml:space="preserve">the </w:t>
            </w:r>
            <w:r w:rsidRPr="004034DB">
              <w:rPr>
                <w:rFonts w:ascii="Calibri" w:hAnsi="Calibri"/>
                <w:color w:val="auto"/>
                <w:sz w:val="20"/>
                <w:szCs w:val="20"/>
              </w:rPr>
              <w:t xml:space="preserve">wider public to address the issues / claims </w:t>
            </w:r>
            <w:r w:rsidR="006744E9">
              <w:rPr>
                <w:rFonts w:ascii="Calibri" w:hAnsi="Calibri"/>
                <w:color w:val="auto"/>
                <w:sz w:val="20"/>
                <w:szCs w:val="20"/>
              </w:rPr>
              <w:t>of excluded or marginalised groups</w:t>
            </w:r>
          </w:p>
          <w:p w14:paraId="6F3D483A" w14:textId="77777777" w:rsidR="00AD2DBC" w:rsidRPr="00C77DA1" w:rsidRDefault="00AD2DBC" w:rsidP="00427B29">
            <w:pPr>
              <w:pStyle w:val="Resultsub"/>
              <w:rPr>
                <w:i/>
                <w:color w:val="auto"/>
              </w:rPr>
            </w:pPr>
            <w:r w:rsidRPr="00C77DA1">
              <w:rPr>
                <w:i/>
                <w:color w:val="auto"/>
              </w:rPr>
              <w:t>Mobilisation</w:t>
            </w:r>
          </w:p>
          <w:p w14:paraId="1D08C9D7" w14:textId="5EE116E7" w:rsidR="00AD2DBC" w:rsidRDefault="00AD2DBC" w:rsidP="00427B29">
            <w:pPr>
              <w:pStyle w:val="Broodtekstzonderwitregelna"/>
              <w:rPr>
                <w:rFonts w:ascii="Calibri" w:hAnsi="Calibri"/>
                <w:color w:val="auto"/>
                <w:sz w:val="20"/>
                <w:szCs w:val="20"/>
              </w:rPr>
            </w:pPr>
            <w:r>
              <w:rPr>
                <w:rFonts w:ascii="Calibri" w:hAnsi="Calibri"/>
                <w:color w:val="auto"/>
                <w:sz w:val="20"/>
                <w:szCs w:val="20"/>
              </w:rPr>
              <w:t>SCSOs m</w:t>
            </w:r>
            <w:r w:rsidRPr="004034DB">
              <w:rPr>
                <w:rFonts w:ascii="Calibri" w:hAnsi="Calibri"/>
                <w:color w:val="auto"/>
                <w:sz w:val="20"/>
                <w:szCs w:val="20"/>
              </w:rPr>
              <w:t>obilis</w:t>
            </w:r>
            <w:r>
              <w:rPr>
                <w:rFonts w:ascii="Calibri" w:hAnsi="Calibri"/>
                <w:color w:val="auto"/>
                <w:sz w:val="20"/>
                <w:szCs w:val="20"/>
              </w:rPr>
              <w:t xml:space="preserve">e support and </w:t>
            </w:r>
            <w:r w:rsidRPr="004034DB">
              <w:rPr>
                <w:rFonts w:ascii="Calibri" w:hAnsi="Calibri"/>
                <w:color w:val="auto"/>
                <w:sz w:val="20"/>
                <w:szCs w:val="20"/>
              </w:rPr>
              <w:t>creat</w:t>
            </w:r>
            <w:r>
              <w:rPr>
                <w:rFonts w:ascii="Calibri" w:hAnsi="Calibri"/>
                <w:color w:val="auto"/>
                <w:sz w:val="20"/>
                <w:szCs w:val="20"/>
              </w:rPr>
              <w:t>e</w:t>
            </w:r>
            <w:r w:rsidRPr="004034DB">
              <w:rPr>
                <w:rFonts w:ascii="Calibri" w:hAnsi="Calibri"/>
                <w:color w:val="auto"/>
                <w:sz w:val="20"/>
                <w:szCs w:val="20"/>
              </w:rPr>
              <w:t xml:space="preserve"> </w:t>
            </w:r>
            <w:r>
              <w:rPr>
                <w:rFonts w:ascii="Calibri" w:hAnsi="Calibri"/>
                <w:color w:val="auto"/>
                <w:sz w:val="20"/>
                <w:szCs w:val="20"/>
              </w:rPr>
              <w:t xml:space="preserve">networks </w:t>
            </w:r>
            <w:r w:rsidRPr="004034DB">
              <w:rPr>
                <w:rFonts w:ascii="Calibri" w:hAnsi="Calibri"/>
                <w:color w:val="auto"/>
                <w:sz w:val="20"/>
                <w:szCs w:val="20"/>
              </w:rPr>
              <w:t>necessary for collective advocacy</w:t>
            </w:r>
          </w:p>
          <w:p w14:paraId="75340A5B" w14:textId="77777777" w:rsidR="00AD2DBC" w:rsidRDefault="00AD2DBC" w:rsidP="00427B29">
            <w:pPr>
              <w:pStyle w:val="Broodtekstzonderwitregelna"/>
              <w:rPr>
                <w:rFonts w:ascii="Calibri" w:hAnsi="Calibri"/>
                <w:color w:val="auto"/>
                <w:sz w:val="20"/>
                <w:szCs w:val="20"/>
              </w:rPr>
            </w:pPr>
          </w:p>
          <w:p w14:paraId="687E294F" w14:textId="77777777" w:rsidR="00AD2DBC" w:rsidRPr="00C77DA1" w:rsidRDefault="00AD2DBC" w:rsidP="00427B29">
            <w:pPr>
              <w:pStyle w:val="Resultsub"/>
              <w:rPr>
                <w:i/>
                <w:color w:val="auto"/>
              </w:rPr>
            </w:pPr>
            <w:r w:rsidRPr="00C77DA1">
              <w:rPr>
                <w:i/>
                <w:color w:val="auto"/>
              </w:rPr>
              <w:t>Activation</w:t>
            </w:r>
          </w:p>
          <w:p w14:paraId="23042BDD" w14:textId="4B03BD66" w:rsidR="00AD2DBC" w:rsidRPr="004034DB" w:rsidRDefault="00AD2DBC" w:rsidP="00427B29">
            <w:pPr>
              <w:pStyle w:val="Broodtekst"/>
              <w:rPr>
                <w:rFonts w:ascii="Calibri" w:hAnsi="Calibri"/>
                <w:color w:val="auto"/>
                <w:sz w:val="20"/>
                <w:szCs w:val="20"/>
              </w:rPr>
            </w:pPr>
            <w:r>
              <w:rPr>
                <w:rFonts w:ascii="Calibri" w:hAnsi="Calibri"/>
                <w:color w:val="auto"/>
                <w:sz w:val="20"/>
                <w:szCs w:val="20"/>
              </w:rPr>
              <w:t>SCSOs i</w:t>
            </w:r>
            <w:r w:rsidRPr="004034DB">
              <w:rPr>
                <w:rFonts w:ascii="Calibri" w:hAnsi="Calibri"/>
                <w:color w:val="auto"/>
                <w:sz w:val="20"/>
                <w:szCs w:val="20"/>
              </w:rPr>
              <w:t>nform / educat</w:t>
            </w:r>
            <w:r>
              <w:rPr>
                <w:rFonts w:ascii="Calibri" w:hAnsi="Calibri"/>
                <w:color w:val="auto"/>
                <w:sz w:val="20"/>
                <w:szCs w:val="20"/>
              </w:rPr>
              <w:t>e</w:t>
            </w:r>
            <w:r w:rsidRPr="004034DB">
              <w:rPr>
                <w:rFonts w:ascii="Calibri" w:hAnsi="Calibri"/>
                <w:color w:val="auto"/>
                <w:sz w:val="20"/>
                <w:szCs w:val="20"/>
              </w:rPr>
              <w:t xml:space="preserve"> citizens, interest groups and  other CSOs on issues / claims</w:t>
            </w:r>
          </w:p>
        </w:tc>
        <w:tc>
          <w:tcPr>
            <w:tcW w:w="1034" w:type="pct"/>
          </w:tcPr>
          <w:p w14:paraId="72E76BD3" w14:textId="661A18C6" w:rsidR="00AD2DBC" w:rsidRPr="004034DB" w:rsidRDefault="00AD2DBC">
            <w:pPr>
              <w:pStyle w:val="Opsomming"/>
            </w:pPr>
            <w:r w:rsidRPr="004034DB">
              <w:t># of advocacy initiatives</w:t>
            </w:r>
            <w:r w:rsidRPr="004034DB">
              <w:rPr>
                <w:lang w:eastAsia="zh-CN"/>
              </w:rPr>
              <w:t xml:space="preserve"> carried out by CSOs</w:t>
            </w:r>
            <w:r>
              <w:rPr>
                <w:lang w:eastAsia="zh-CN"/>
              </w:rPr>
              <w:t>, for, by or</w:t>
            </w:r>
            <w:r w:rsidR="00366743">
              <w:rPr>
                <w:lang w:eastAsia="zh-CN"/>
              </w:rPr>
              <w:t xml:space="preserve"> </w:t>
            </w:r>
            <w:r>
              <w:rPr>
                <w:lang w:eastAsia="zh-CN"/>
              </w:rPr>
              <w:t>with their membership</w:t>
            </w:r>
            <w:r w:rsidR="006744E9">
              <w:rPr>
                <w:lang w:eastAsia="zh-CN"/>
              </w:rPr>
              <w:t>/</w:t>
            </w:r>
            <w:r>
              <w:rPr>
                <w:lang w:eastAsia="zh-CN"/>
              </w:rPr>
              <w:t>constituency</w:t>
            </w:r>
          </w:p>
          <w:p w14:paraId="73DD8C3B" w14:textId="77777777" w:rsidR="00AD2DBC" w:rsidRDefault="00AD2DBC">
            <w:pPr>
              <w:pStyle w:val="Opsomming"/>
            </w:pPr>
          </w:p>
          <w:p w14:paraId="00E6E9BC" w14:textId="2763A1EB" w:rsidR="00AD2DBC" w:rsidRDefault="00AD2DBC">
            <w:pPr>
              <w:pStyle w:val="Opsomming"/>
            </w:pPr>
            <w:r>
              <w:t>Explanation:</w:t>
            </w:r>
          </w:p>
          <w:p w14:paraId="33205F96" w14:textId="343B5EA7" w:rsidR="00AD2DBC" w:rsidRPr="004034DB" w:rsidRDefault="00366743">
            <w:pPr>
              <w:pStyle w:val="Opsomming"/>
            </w:pPr>
            <w:r>
              <w:t>N</w:t>
            </w:r>
            <w:r w:rsidR="00AD2DBC">
              <w:t>umber of advocacy initiatives carried out</w:t>
            </w:r>
          </w:p>
        </w:tc>
        <w:tc>
          <w:tcPr>
            <w:tcW w:w="2283" w:type="pct"/>
            <w:shd w:val="clear" w:color="auto" w:fill="auto"/>
          </w:tcPr>
          <w:p w14:paraId="43EC3BA3" w14:textId="2EC0DC4A" w:rsidR="00454C7B" w:rsidRDefault="006744E9" w:rsidP="00454C7B">
            <w:pPr>
              <w:pStyle w:val="Opsomming"/>
            </w:pPr>
            <w:r>
              <w:t>Explain</w:t>
            </w:r>
            <w:r w:rsidR="00AD2DBC">
              <w:t xml:space="preserve"> how CSOs activate and educate citizens, how they mobilise support</w:t>
            </w:r>
            <w:r>
              <w:t xml:space="preserve"> and create networks</w:t>
            </w:r>
            <w:r w:rsidR="004E5A4F">
              <w:t>,</w:t>
            </w:r>
            <w:r w:rsidR="00AD2DBC">
              <w:t xml:space="preserve"> and how this culminates in political participation</w:t>
            </w:r>
            <w:r>
              <w:t xml:space="preserve"> of excluded or marginalised groups</w:t>
            </w:r>
            <w:r w:rsidR="004E5A4F">
              <w:t>. From a learning perspective, please also consider explaining cases where CSOs are unable to do so</w:t>
            </w:r>
            <w:r w:rsidR="00454C7B">
              <w:t>, and/or where other actors (not CSOs) were more important for this.</w:t>
            </w:r>
          </w:p>
          <w:p w14:paraId="158E6E33" w14:textId="7D733E52" w:rsidR="00AD2DBC" w:rsidRDefault="00AD2DBC">
            <w:pPr>
              <w:pStyle w:val="Opsomming"/>
            </w:pPr>
          </w:p>
          <w:p w14:paraId="492AC9FF" w14:textId="1DD283CE" w:rsidR="00AD2DBC" w:rsidRPr="004034DB" w:rsidRDefault="004E5A4F" w:rsidP="004E5A4F">
            <w:pPr>
              <w:pStyle w:val="Opsomming"/>
            </w:pPr>
            <w:r>
              <w:t>In answering this question it helps to consider…</w:t>
            </w:r>
          </w:p>
          <w:p w14:paraId="3BD4F1A4" w14:textId="6305B3B4" w:rsidR="00366743" w:rsidRPr="00366743" w:rsidRDefault="004E5A4F" w:rsidP="00C77DA1">
            <w:pPr>
              <w:pStyle w:val="Opsomming"/>
              <w:numPr>
                <w:ilvl w:val="0"/>
                <w:numId w:val="21"/>
              </w:numPr>
              <w:ind w:left="340"/>
            </w:pPr>
            <w:r>
              <w:t>…e</w:t>
            </w:r>
            <w:r w:rsidR="00366743" w:rsidRPr="00C77DA1">
              <w:t>xplain</w:t>
            </w:r>
            <w:r>
              <w:t>ing the</w:t>
            </w:r>
            <w:r w:rsidR="00366743" w:rsidRPr="00C77DA1">
              <w:t xml:space="preserve"> process of activation</w:t>
            </w:r>
          </w:p>
          <w:p w14:paraId="2E467A85" w14:textId="31D3E225" w:rsidR="00AD2DBC" w:rsidRPr="004034DB" w:rsidRDefault="004E5A4F" w:rsidP="00C77DA1">
            <w:pPr>
              <w:pStyle w:val="Opsomming"/>
              <w:numPr>
                <w:ilvl w:val="0"/>
                <w:numId w:val="21"/>
              </w:numPr>
              <w:ind w:left="340"/>
              <w:rPr>
                <w:b/>
              </w:rPr>
            </w:pPr>
            <w:r>
              <w:t xml:space="preserve">…explaining the </w:t>
            </w:r>
            <w:r w:rsidR="00366743">
              <w:t>process of mobilisation</w:t>
            </w:r>
          </w:p>
          <w:p w14:paraId="7A204D27" w14:textId="27B2934D" w:rsidR="00366743" w:rsidRDefault="004E5A4F" w:rsidP="00C77DA1">
            <w:pPr>
              <w:pStyle w:val="Opsomming"/>
              <w:numPr>
                <w:ilvl w:val="0"/>
                <w:numId w:val="21"/>
              </w:numPr>
              <w:ind w:left="340"/>
            </w:pPr>
            <w:r>
              <w:t>…e</w:t>
            </w:r>
            <w:r w:rsidR="00366743">
              <w:t>xplain</w:t>
            </w:r>
            <w:r>
              <w:t>ing the</w:t>
            </w:r>
            <w:r w:rsidR="00366743">
              <w:t xml:space="preserve"> process of political participation</w:t>
            </w:r>
          </w:p>
          <w:p w14:paraId="726511E9" w14:textId="5904BBEB" w:rsidR="00EE4018" w:rsidRDefault="004E5A4F" w:rsidP="00C77DA1">
            <w:pPr>
              <w:pStyle w:val="Opsomming"/>
              <w:numPr>
                <w:ilvl w:val="0"/>
                <w:numId w:val="21"/>
              </w:numPr>
              <w:ind w:left="340"/>
            </w:pPr>
            <w:r>
              <w:t>…d</w:t>
            </w:r>
            <w:r w:rsidR="00EE4018">
              <w:t>escrib</w:t>
            </w:r>
            <w:r>
              <w:t>ing</w:t>
            </w:r>
            <w:r w:rsidR="00EE4018">
              <w:t xml:space="preserve"> </w:t>
            </w:r>
            <w:r w:rsidR="00FE45A4">
              <w:t xml:space="preserve">different </w:t>
            </w:r>
            <w:r w:rsidR="00EE4018">
              <w:t>types of advocacy strategies</w:t>
            </w:r>
            <w:r>
              <w:t xml:space="preserve"> employed</w:t>
            </w:r>
            <w:r w:rsidR="00EE4018">
              <w:t xml:space="preserve"> </w:t>
            </w:r>
          </w:p>
          <w:p w14:paraId="3CB17A85" w14:textId="77777777" w:rsidR="00366743" w:rsidRDefault="00366743" w:rsidP="00C77DA1">
            <w:pPr>
              <w:pStyle w:val="Opsomming"/>
            </w:pPr>
          </w:p>
          <w:p w14:paraId="5CF9F152" w14:textId="779494A4" w:rsidR="00366743" w:rsidRDefault="009745B9" w:rsidP="00C77DA1">
            <w:pPr>
              <w:pStyle w:val="Opsomming"/>
            </w:pPr>
            <w:r>
              <w:t>Link to D&amp;D ToC:</w:t>
            </w:r>
          </w:p>
          <w:p w14:paraId="607E16D2" w14:textId="1AC7E971" w:rsidR="00EE4018" w:rsidRDefault="00EE4018" w:rsidP="00C77DA1">
            <w:pPr>
              <w:pStyle w:val="Opsomming"/>
              <w:numPr>
                <w:ilvl w:val="0"/>
                <w:numId w:val="22"/>
              </w:numPr>
              <w:ind w:left="340"/>
            </w:pPr>
            <w:r>
              <w:t xml:space="preserve">Paragraph 5.2 </w:t>
            </w:r>
            <w:r w:rsidR="003328AB">
              <w:t xml:space="preserve">- </w:t>
            </w:r>
            <w:r>
              <w:t>explains the advocacy process in terms of activation, mobilisation, participation (also see table 5)</w:t>
            </w:r>
          </w:p>
          <w:p w14:paraId="1D8AD0DE" w14:textId="0FF86075" w:rsidR="00AD2DBC" w:rsidRPr="004034DB" w:rsidRDefault="00EE4018" w:rsidP="004E5A4F">
            <w:pPr>
              <w:pStyle w:val="Opsomming"/>
              <w:numPr>
                <w:ilvl w:val="0"/>
                <w:numId w:val="22"/>
              </w:numPr>
              <w:ind w:left="340"/>
            </w:pPr>
            <w:r>
              <w:t>Paragraph 5.</w:t>
            </w:r>
            <w:r w:rsidR="004E5A4F">
              <w:t>3</w:t>
            </w:r>
            <w:r>
              <w:t xml:space="preserve"> </w:t>
            </w:r>
            <w:r w:rsidR="003328AB">
              <w:t xml:space="preserve">- </w:t>
            </w:r>
            <w:r>
              <w:t>explains different t</w:t>
            </w:r>
            <w:r w:rsidR="00AD2DBC">
              <w:t xml:space="preserve">ypes of advocacy </w:t>
            </w:r>
            <w:r>
              <w:t>strategies</w:t>
            </w:r>
            <w:r w:rsidR="00AD2DBC">
              <w:t xml:space="preserve"> (</w:t>
            </w:r>
            <w:r>
              <w:t>see table 4</w:t>
            </w:r>
            <w:r w:rsidR="00AD2DBC">
              <w:t>)</w:t>
            </w:r>
          </w:p>
        </w:tc>
      </w:tr>
    </w:tbl>
    <w:p w14:paraId="230DD034" w14:textId="77777777" w:rsidR="00AB693C" w:rsidRPr="004034DB" w:rsidRDefault="00AB693C">
      <w:pPr>
        <w:rPr>
          <w:rFonts w:ascii="Calibri" w:hAnsi="Calibri"/>
          <w:sz w:val="20"/>
          <w:szCs w:val="20"/>
        </w:rPr>
      </w:pPr>
      <w:r w:rsidRPr="004034DB">
        <w:rPr>
          <w:rFonts w:ascii="Calibri" w:hAnsi="Calibri"/>
          <w:b/>
          <w:sz w:val="20"/>
          <w:szCs w:val="20"/>
        </w:rPr>
        <w:br w:type="page"/>
      </w:r>
    </w:p>
    <w:tbl>
      <w:tblPr>
        <w:tblStyle w:val="TableGrid"/>
        <w:tblW w:w="5012" w:type="pct"/>
        <w:tblLayout w:type="fixed"/>
        <w:tblCellMar>
          <w:top w:w="57" w:type="dxa"/>
          <w:left w:w="113" w:type="dxa"/>
          <w:bottom w:w="57" w:type="dxa"/>
          <w:right w:w="113" w:type="dxa"/>
        </w:tblCellMar>
        <w:tblLook w:val="04A0" w:firstRow="1" w:lastRow="0" w:firstColumn="1" w:lastColumn="0" w:noHBand="0" w:noVBand="1"/>
      </w:tblPr>
      <w:tblGrid>
        <w:gridCol w:w="419"/>
        <w:gridCol w:w="4577"/>
        <w:gridCol w:w="3068"/>
        <w:gridCol w:w="6815"/>
      </w:tblGrid>
      <w:tr w:rsidR="00ED6303" w:rsidRPr="004034DB" w14:paraId="7A00C0D6" w14:textId="77777777" w:rsidTr="00ED6303">
        <w:trPr>
          <w:cantSplit/>
        </w:trPr>
        <w:tc>
          <w:tcPr>
            <w:tcW w:w="141" w:type="pct"/>
            <w:shd w:val="clear" w:color="auto" w:fill="DFE3F0" w:themeFill="accent1" w:themeFillTint="33"/>
          </w:tcPr>
          <w:p w14:paraId="7C8CD799" w14:textId="587985C2" w:rsidR="00496781" w:rsidRPr="004034DB" w:rsidRDefault="00496781" w:rsidP="00ED6303">
            <w:pPr>
              <w:pStyle w:val="Niveau"/>
              <w:rPr>
                <w:color w:val="auto"/>
              </w:rPr>
            </w:pPr>
            <w:r>
              <w:rPr>
                <w:color w:val="auto"/>
              </w:rPr>
              <w:lastRenderedPageBreak/>
              <w:t>5</w:t>
            </w:r>
          </w:p>
        </w:tc>
        <w:tc>
          <w:tcPr>
            <w:tcW w:w="4859" w:type="pct"/>
            <w:gridSpan w:val="3"/>
            <w:shd w:val="clear" w:color="auto" w:fill="DFE3F0" w:themeFill="accent1" w:themeFillTint="33"/>
          </w:tcPr>
          <w:p w14:paraId="42380410" w14:textId="24C84A8E" w:rsidR="00496781" w:rsidRPr="004034DB" w:rsidRDefault="00496781">
            <w:pPr>
              <w:pStyle w:val="Niveau"/>
              <w:rPr>
                <w:color w:val="auto"/>
              </w:rPr>
            </w:pPr>
            <w:r w:rsidRPr="004034DB">
              <w:rPr>
                <w:rStyle w:val="Grijs"/>
                <w:b/>
                <w:color w:val="auto"/>
              </w:rPr>
              <w:t xml:space="preserve">civil society </w:t>
            </w:r>
            <w:r>
              <w:rPr>
                <w:rStyle w:val="Grijs"/>
                <w:b/>
                <w:color w:val="auto"/>
              </w:rPr>
              <w:t>strengthening</w:t>
            </w:r>
            <w:r w:rsidRPr="004034DB">
              <w:rPr>
                <w:rStyle w:val="Grijs"/>
                <w:b/>
                <w:color w:val="auto"/>
              </w:rPr>
              <w:t xml:space="preserve"> </w:t>
            </w:r>
          </w:p>
        </w:tc>
      </w:tr>
      <w:tr w:rsidR="00944791" w:rsidRPr="004034DB" w14:paraId="1E573576" w14:textId="77777777" w:rsidTr="00C77DA1">
        <w:trPr>
          <w:cantSplit/>
        </w:trPr>
        <w:tc>
          <w:tcPr>
            <w:tcW w:w="141" w:type="pct"/>
            <w:shd w:val="clear" w:color="auto" w:fill="auto"/>
          </w:tcPr>
          <w:p w14:paraId="7013811C" w14:textId="77777777" w:rsidR="00944791" w:rsidRPr="004034DB" w:rsidRDefault="00944791" w:rsidP="00944791">
            <w:pPr>
              <w:pStyle w:val="Resultmain"/>
              <w:rPr>
                <w:color w:val="FFFFFF" w:themeColor="background1"/>
              </w:rPr>
            </w:pPr>
          </w:p>
        </w:tc>
        <w:tc>
          <w:tcPr>
            <w:tcW w:w="4859" w:type="pct"/>
            <w:gridSpan w:val="3"/>
            <w:shd w:val="clear" w:color="auto" w:fill="7096D2" w:themeFill="text2" w:themeFillTint="99"/>
          </w:tcPr>
          <w:p w14:paraId="374CF4C7" w14:textId="24444495" w:rsidR="00944791" w:rsidRPr="004034DB" w:rsidRDefault="00944791" w:rsidP="00944791">
            <w:pPr>
              <w:pStyle w:val="Resultmain"/>
              <w:rPr>
                <w:color w:val="FFFFFF" w:themeColor="background1"/>
              </w:rPr>
            </w:pPr>
            <w:r w:rsidRPr="004034DB">
              <w:rPr>
                <w:color w:val="FFFFFF" w:themeColor="background1"/>
              </w:rPr>
              <w:t>CSOs improve their capacity and legitimacy to lobby and advocate</w:t>
            </w:r>
          </w:p>
        </w:tc>
      </w:tr>
      <w:tr w:rsidR="00496781" w:rsidRPr="004034DB" w14:paraId="277DD233" w14:textId="77777777" w:rsidTr="00454C7B">
        <w:trPr>
          <w:cantSplit/>
          <w:trHeight w:val="24"/>
        </w:trPr>
        <w:tc>
          <w:tcPr>
            <w:tcW w:w="141" w:type="pct"/>
            <w:shd w:val="clear" w:color="auto" w:fill="auto"/>
            <w:tcMar>
              <w:bottom w:w="57" w:type="dxa"/>
            </w:tcMar>
            <w:vAlign w:val="bottom"/>
          </w:tcPr>
          <w:p w14:paraId="35CB6BF3" w14:textId="77777777" w:rsidR="00496781" w:rsidRPr="004034DB" w:rsidRDefault="00496781" w:rsidP="00FA5D20">
            <w:pPr>
              <w:pStyle w:val="Kolomtitel"/>
              <w:rPr>
                <w:sz w:val="20"/>
              </w:rPr>
            </w:pPr>
          </w:p>
        </w:tc>
        <w:tc>
          <w:tcPr>
            <w:tcW w:w="1538" w:type="pct"/>
            <w:shd w:val="clear" w:color="auto" w:fill="F2F2F2" w:themeFill="background1" w:themeFillShade="F2"/>
            <w:tcMar>
              <w:bottom w:w="57" w:type="dxa"/>
            </w:tcMar>
            <w:vAlign w:val="bottom"/>
          </w:tcPr>
          <w:p w14:paraId="0863CE80" w14:textId="051B1C40" w:rsidR="00496781" w:rsidRPr="004034DB" w:rsidRDefault="00496781" w:rsidP="00FA5D20">
            <w:pPr>
              <w:pStyle w:val="Kolomtitel"/>
              <w:rPr>
                <w:sz w:val="20"/>
              </w:rPr>
            </w:pPr>
            <w:r w:rsidRPr="004034DB">
              <w:rPr>
                <w:sz w:val="20"/>
              </w:rPr>
              <w:t xml:space="preserve">Result </w:t>
            </w:r>
          </w:p>
        </w:tc>
        <w:tc>
          <w:tcPr>
            <w:tcW w:w="1031" w:type="pct"/>
            <w:shd w:val="clear" w:color="auto" w:fill="F2F2F2" w:themeFill="background1" w:themeFillShade="F2"/>
            <w:tcMar>
              <w:bottom w:w="57" w:type="dxa"/>
            </w:tcMar>
            <w:vAlign w:val="bottom"/>
          </w:tcPr>
          <w:p w14:paraId="77F5C456" w14:textId="35306AF4" w:rsidR="00496781" w:rsidRPr="004034DB" w:rsidRDefault="00496781">
            <w:pPr>
              <w:pStyle w:val="Kolomtitel"/>
              <w:rPr>
                <w:sz w:val="20"/>
              </w:rPr>
            </w:pPr>
            <w:r w:rsidRPr="004034DB">
              <w:rPr>
                <w:sz w:val="20"/>
              </w:rPr>
              <w:t xml:space="preserve">Quantitative </w:t>
            </w:r>
            <w:r>
              <w:rPr>
                <w:sz w:val="20"/>
              </w:rPr>
              <w:t>Measurement</w:t>
            </w:r>
          </w:p>
        </w:tc>
        <w:tc>
          <w:tcPr>
            <w:tcW w:w="2290" w:type="pct"/>
            <w:shd w:val="clear" w:color="auto" w:fill="F2F2F2" w:themeFill="background1" w:themeFillShade="F2"/>
            <w:tcMar>
              <w:bottom w:w="57" w:type="dxa"/>
            </w:tcMar>
            <w:vAlign w:val="bottom"/>
          </w:tcPr>
          <w:p w14:paraId="2A7A0E28" w14:textId="1D83E49D" w:rsidR="00496781" w:rsidRPr="004034DB" w:rsidRDefault="00496781" w:rsidP="00FA5D20">
            <w:pPr>
              <w:pStyle w:val="Kolomtitel"/>
              <w:rPr>
                <w:sz w:val="20"/>
              </w:rPr>
            </w:pPr>
            <w:r w:rsidRPr="004034DB">
              <w:rPr>
                <w:sz w:val="20"/>
              </w:rPr>
              <w:t xml:space="preserve">Qualitative </w:t>
            </w:r>
            <w:r>
              <w:rPr>
                <w:sz w:val="20"/>
              </w:rPr>
              <w:t>MEASUREMENT</w:t>
            </w:r>
          </w:p>
        </w:tc>
      </w:tr>
      <w:tr w:rsidR="00004B5D" w:rsidRPr="004034DB" w14:paraId="7B04008E" w14:textId="77777777" w:rsidTr="00454C7B">
        <w:tc>
          <w:tcPr>
            <w:tcW w:w="141" w:type="pct"/>
            <w:vMerge w:val="restart"/>
          </w:tcPr>
          <w:p w14:paraId="48F094AC" w14:textId="77777777" w:rsidR="00004B5D" w:rsidRPr="004034DB" w:rsidRDefault="00004B5D" w:rsidP="00ED6303">
            <w:pPr>
              <w:pStyle w:val="Broodtekst"/>
              <w:rPr>
                <w:rFonts w:ascii="Calibri" w:hAnsi="Calibri"/>
                <w:color w:val="auto"/>
                <w:sz w:val="20"/>
                <w:szCs w:val="20"/>
              </w:rPr>
            </w:pPr>
          </w:p>
        </w:tc>
        <w:tc>
          <w:tcPr>
            <w:tcW w:w="1538" w:type="pct"/>
          </w:tcPr>
          <w:p w14:paraId="50846E10" w14:textId="77777777" w:rsidR="00004B5D" w:rsidRPr="00151458" w:rsidRDefault="00004B5D" w:rsidP="00ED6303">
            <w:pPr>
              <w:autoSpaceDE w:val="0"/>
              <w:autoSpaceDN w:val="0"/>
              <w:adjustRightInd w:val="0"/>
              <w:spacing w:after="0"/>
              <w:rPr>
                <w:rFonts w:ascii="Calibri-Bold" w:hAnsi="Calibri-Bold" w:cs="Calibri-Bold"/>
                <w:b/>
                <w:bCs/>
                <w:color w:val="000000"/>
                <w:sz w:val="19"/>
                <w:szCs w:val="19"/>
                <w:lang w:val="en-US"/>
              </w:rPr>
            </w:pPr>
            <w:r>
              <w:rPr>
                <w:rFonts w:ascii="Calibri-Bold" w:hAnsi="Calibri-Bold" w:cs="Calibri-Bold"/>
                <w:b/>
                <w:bCs/>
                <w:color w:val="000000"/>
                <w:sz w:val="19"/>
                <w:szCs w:val="19"/>
                <w:lang w:val="en-US"/>
              </w:rPr>
              <w:t>C</w:t>
            </w:r>
            <w:r w:rsidRPr="00151458">
              <w:rPr>
                <w:rFonts w:ascii="Calibri-Bold" w:hAnsi="Calibri-Bold" w:cs="Calibri-Bold"/>
                <w:b/>
                <w:bCs/>
                <w:color w:val="000000"/>
                <w:sz w:val="19"/>
                <w:szCs w:val="19"/>
                <w:lang w:val="en-US"/>
              </w:rPr>
              <w:t xml:space="preserve">SOs improve their </w:t>
            </w:r>
            <w:r w:rsidRPr="00151458">
              <w:rPr>
                <w:rFonts w:ascii="Calibri-Bold" w:hAnsi="Calibri-Bold" w:cs="Calibri-Bold"/>
                <w:b/>
                <w:bCs/>
                <w:color w:val="76410D"/>
                <w:sz w:val="19"/>
                <w:szCs w:val="19"/>
                <w:lang w:val="en-US"/>
              </w:rPr>
              <w:t xml:space="preserve">capacity </w:t>
            </w:r>
            <w:r w:rsidRPr="00151458">
              <w:rPr>
                <w:rFonts w:ascii="Calibri-Bold" w:hAnsi="Calibri-Bold" w:cs="Calibri-Bold"/>
                <w:b/>
                <w:bCs/>
                <w:color w:val="000000"/>
                <w:sz w:val="19"/>
                <w:szCs w:val="19"/>
                <w:lang w:val="en-US"/>
              </w:rPr>
              <w:t>to lobby and advocate</w:t>
            </w:r>
          </w:p>
          <w:p w14:paraId="037F4504" w14:textId="77777777" w:rsidR="00004B5D" w:rsidRPr="00151458" w:rsidRDefault="00004B5D" w:rsidP="00ED6303">
            <w:pPr>
              <w:autoSpaceDE w:val="0"/>
              <w:autoSpaceDN w:val="0"/>
              <w:adjustRightInd w:val="0"/>
              <w:spacing w:after="0"/>
              <w:rPr>
                <w:rFonts w:ascii="Calibri" w:hAnsi="Calibri" w:cs="Calibri"/>
                <w:color w:val="000000"/>
                <w:sz w:val="19"/>
                <w:szCs w:val="19"/>
                <w:lang w:val="en-US"/>
              </w:rPr>
            </w:pPr>
            <w:r w:rsidRPr="00151458">
              <w:rPr>
                <w:rFonts w:ascii="Calibri" w:hAnsi="Calibri" w:cs="Calibri"/>
                <w:color w:val="000000"/>
                <w:sz w:val="19"/>
                <w:szCs w:val="19"/>
                <w:lang w:val="en-US"/>
              </w:rPr>
              <w:t>Capable organisations to implement L&amp;A</w:t>
            </w:r>
          </w:p>
          <w:p w14:paraId="44875ED4" w14:textId="77777777" w:rsidR="00004B5D" w:rsidRPr="00151458" w:rsidRDefault="00004B5D" w:rsidP="00531AFE">
            <w:pPr>
              <w:pStyle w:val="ListParagraph"/>
              <w:numPr>
                <w:ilvl w:val="0"/>
                <w:numId w:val="1"/>
              </w:numPr>
              <w:autoSpaceDE w:val="0"/>
              <w:autoSpaceDN w:val="0"/>
              <w:adjustRightInd w:val="0"/>
              <w:rPr>
                <w:rFonts w:ascii="Calibri" w:hAnsi="Calibri" w:cs="Calibri"/>
                <w:color w:val="000000"/>
                <w:sz w:val="19"/>
                <w:szCs w:val="19"/>
                <w:lang w:val="en-US"/>
              </w:rPr>
            </w:pPr>
            <w:r w:rsidRPr="00151458">
              <w:rPr>
                <w:rFonts w:ascii="Calibri" w:hAnsi="Calibri" w:cs="Calibri"/>
                <w:color w:val="000000"/>
                <w:sz w:val="19"/>
                <w:szCs w:val="19"/>
                <w:lang w:val="en-US"/>
              </w:rPr>
              <w:t>Capable staff including leadership</w:t>
            </w:r>
          </w:p>
          <w:p w14:paraId="184DC395" w14:textId="77777777" w:rsidR="00004B5D" w:rsidRPr="00151458" w:rsidRDefault="00004B5D" w:rsidP="00531AFE">
            <w:pPr>
              <w:pStyle w:val="ListParagraph"/>
              <w:numPr>
                <w:ilvl w:val="0"/>
                <w:numId w:val="1"/>
              </w:numPr>
              <w:autoSpaceDE w:val="0"/>
              <w:autoSpaceDN w:val="0"/>
              <w:adjustRightInd w:val="0"/>
              <w:rPr>
                <w:rFonts w:ascii="Calibri" w:hAnsi="Calibri" w:cs="Calibri"/>
                <w:color w:val="000000"/>
                <w:sz w:val="19"/>
                <w:szCs w:val="19"/>
                <w:lang w:val="en-US"/>
              </w:rPr>
            </w:pPr>
            <w:r w:rsidRPr="00151458">
              <w:rPr>
                <w:rFonts w:ascii="Calibri" w:hAnsi="Calibri" w:cs="Calibri"/>
                <w:color w:val="000000"/>
                <w:sz w:val="19"/>
                <w:szCs w:val="19"/>
                <w:lang w:val="en-US"/>
              </w:rPr>
              <w:t>Structure, systems and processes including planning,</w:t>
            </w:r>
          </w:p>
          <w:p w14:paraId="7A54F96D" w14:textId="77777777" w:rsidR="00004B5D" w:rsidRPr="00151458" w:rsidRDefault="00004B5D" w:rsidP="00531AFE">
            <w:pPr>
              <w:pStyle w:val="ListParagraph"/>
              <w:numPr>
                <w:ilvl w:val="0"/>
                <w:numId w:val="1"/>
              </w:numPr>
              <w:autoSpaceDE w:val="0"/>
              <w:autoSpaceDN w:val="0"/>
              <w:adjustRightInd w:val="0"/>
              <w:rPr>
                <w:rFonts w:ascii="Calibri" w:hAnsi="Calibri" w:cs="Calibri"/>
                <w:color w:val="000000"/>
                <w:sz w:val="19"/>
                <w:szCs w:val="19"/>
                <w:lang w:val="en-US"/>
              </w:rPr>
            </w:pPr>
            <w:r w:rsidRPr="00151458">
              <w:rPr>
                <w:rFonts w:ascii="Calibri" w:hAnsi="Calibri" w:cs="Calibri"/>
                <w:color w:val="000000"/>
                <w:sz w:val="19"/>
                <w:szCs w:val="19"/>
                <w:lang w:val="en-US"/>
              </w:rPr>
              <w:t>monitoring, evaluation and learning (PMEL)</w:t>
            </w:r>
          </w:p>
          <w:p w14:paraId="28F1C3AF" w14:textId="77777777" w:rsidR="00004B5D" w:rsidRPr="00151458" w:rsidRDefault="00004B5D" w:rsidP="00531AFE">
            <w:pPr>
              <w:pStyle w:val="ListParagraph"/>
              <w:numPr>
                <w:ilvl w:val="0"/>
                <w:numId w:val="1"/>
              </w:numPr>
              <w:autoSpaceDE w:val="0"/>
              <w:autoSpaceDN w:val="0"/>
              <w:adjustRightInd w:val="0"/>
              <w:rPr>
                <w:rFonts w:ascii="Calibri" w:hAnsi="Calibri" w:cs="Calibri"/>
                <w:color w:val="000000"/>
                <w:sz w:val="19"/>
                <w:szCs w:val="19"/>
                <w:lang w:val="en-US"/>
              </w:rPr>
            </w:pPr>
            <w:r w:rsidRPr="00151458">
              <w:rPr>
                <w:rFonts w:ascii="Calibri" w:hAnsi="Calibri" w:cs="Calibri"/>
                <w:color w:val="000000"/>
                <w:sz w:val="19"/>
                <w:szCs w:val="19"/>
                <w:lang w:val="en-US"/>
              </w:rPr>
              <w:t>Sustainable revenue streams</w:t>
            </w:r>
          </w:p>
          <w:p w14:paraId="5DECD86E" w14:textId="77777777" w:rsidR="00004B5D" w:rsidRPr="00151458" w:rsidRDefault="00004B5D" w:rsidP="00531AFE">
            <w:pPr>
              <w:pStyle w:val="ListParagraph"/>
              <w:numPr>
                <w:ilvl w:val="0"/>
                <w:numId w:val="1"/>
              </w:numPr>
              <w:autoSpaceDE w:val="0"/>
              <w:autoSpaceDN w:val="0"/>
              <w:adjustRightInd w:val="0"/>
              <w:rPr>
                <w:rFonts w:ascii="Calibri" w:hAnsi="Calibri" w:cs="Calibri"/>
                <w:color w:val="000000"/>
                <w:sz w:val="19"/>
                <w:szCs w:val="19"/>
                <w:lang w:val="en-US"/>
              </w:rPr>
            </w:pPr>
            <w:r w:rsidRPr="00151458">
              <w:rPr>
                <w:rFonts w:ascii="Calibri" w:hAnsi="Calibri" w:cs="Calibri"/>
                <w:color w:val="000000"/>
                <w:sz w:val="19"/>
                <w:szCs w:val="19"/>
                <w:lang w:val="en-US"/>
              </w:rPr>
              <w:t>Strategies and evidence for L&amp;A</w:t>
            </w:r>
          </w:p>
          <w:p w14:paraId="6237D537" w14:textId="77777777" w:rsidR="00004B5D" w:rsidRPr="00151458" w:rsidRDefault="00004B5D" w:rsidP="00ED6303">
            <w:pPr>
              <w:autoSpaceDE w:val="0"/>
              <w:autoSpaceDN w:val="0"/>
              <w:adjustRightInd w:val="0"/>
              <w:spacing w:after="0"/>
              <w:rPr>
                <w:rFonts w:ascii="Calibri" w:hAnsi="Calibri" w:cs="Calibri"/>
                <w:color w:val="000000"/>
                <w:sz w:val="19"/>
                <w:szCs w:val="19"/>
                <w:lang w:val="en-US"/>
              </w:rPr>
            </w:pPr>
          </w:p>
          <w:p w14:paraId="12FB9658" w14:textId="77777777" w:rsidR="00004B5D" w:rsidRDefault="00004B5D" w:rsidP="00ED6303">
            <w:pPr>
              <w:pStyle w:val="Resultsub"/>
              <w:rPr>
                <w:b/>
                <w:color w:val="auto"/>
              </w:rPr>
            </w:pPr>
          </w:p>
        </w:tc>
        <w:tc>
          <w:tcPr>
            <w:tcW w:w="1031" w:type="pct"/>
          </w:tcPr>
          <w:p w14:paraId="7DC870A5" w14:textId="67E629EF" w:rsidR="00004B5D" w:rsidRDefault="00004B5D">
            <w:pPr>
              <w:autoSpaceDE w:val="0"/>
              <w:autoSpaceDN w:val="0"/>
              <w:adjustRightInd w:val="0"/>
              <w:spacing w:after="0"/>
              <w:rPr>
                <w:rFonts w:ascii="Calibri" w:hAnsi="Calibri" w:cs="Calibri"/>
                <w:sz w:val="19"/>
                <w:szCs w:val="19"/>
                <w:lang w:val="en-US"/>
              </w:rPr>
            </w:pPr>
            <w:r w:rsidRPr="00531AFE">
              <w:rPr>
                <w:rFonts w:ascii="Calibri" w:hAnsi="Calibri" w:cs="Calibri"/>
                <w:sz w:val="19"/>
                <w:szCs w:val="19"/>
                <w:lang w:val="en-US"/>
              </w:rPr>
              <w:t xml:space="preserve"># of </w:t>
            </w:r>
            <w:r w:rsidR="00ED6303">
              <w:rPr>
                <w:rFonts w:ascii="Calibri" w:hAnsi="Calibri" w:cs="Calibri"/>
                <w:sz w:val="19"/>
                <w:szCs w:val="19"/>
                <w:lang w:val="en-US"/>
              </w:rPr>
              <w:t>CSOs</w:t>
            </w:r>
            <w:r w:rsidR="00ED6303" w:rsidRPr="00531AFE">
              <w:rPr>
                <w:rFonts w:ascii="Calibri" w:hAnsi="Calibri" w:cs="Calibri"/>
                <w:sz w:val="19"/>
                <w:szCs w:val="19"/>
                <w:lang w:val="en-US"/>
              </w:rPr>
              <w:t xml:space="preserve"> </w:t>
            </w:r>
            <w:r w:rsidRPr="00531AFE">
              <w:rPr>
                <w:rFonts w:ascii="Calibri" w:hAnsi="Calibri" w:cs="Calibri"/>
                <w:sz w:val="19"/>
                <w:szCs w:val="19"/>
                <w:lang w:val="en-US"/>
              </w:rPr>
              <w:t>with increased L&amp;A capacities</w:t>
            </w:r>
          </w:p>
          <w:p w14:paraId="14B707B5" w14:textId="77777777" w:rsidR="00ED6303" w:rsidRDefault="00ED6303">
            <w:pPr>
              <w:autoSpaceDE w:val="0"/>
              <w:autoSpaceDN w:val="0"/>
              <w:adjustRightInd w:val="0"/>
              <w:spacing w:after="0"/>
              <w:rPr>
                <w:rFonts w:ascii="Calibri" w:hAnsi="Calibri" w:cs="Calibri"/>
                <w:sz w:val="19"/>
                <w:szCs w:val="19"/>
                <w:lang w:val="en-US"/>
              </w:rPr>
            </w:pPr>
          </w:p>
          <w:p w14:paraId="362F694F" w14:textId="77777777" w:rsidR="00ED6303" w:rsidRDefault="00ED6303">
            <w:pPr>
              <w:pStyle w:val="Opsomming"/>
            </w:pPr>
            <w:r>
              <w:t>Explanation:</w:t>
            </w:r>
          </w:p>
          <w:p w14:paraId="53E7BE16" w14:textId="2F853216" w:rsidR="00ED6303" w:rsidRDefault="00ED6303">
            <w:pPr>
              <w:pStyle w:val="Opsomming"/>
            </w:pPr>
            <w:r>
              <w:t>This includes both first and second tier partners with increased L&amp;A capacities</w:t>
            </w:r>
          </w:p>
          <w:p w14:paraId="5C866CAD" w14:textId="0A8B1526" w:rsidR="00ED6303" w:rsidRPr="00C77DA1" w:rsidRDefault="00ED6303">
            <w:pPr>
              <w:autoSpaceDE w:val="0"/>
              <w:autoSpaceDN w:val="0"/>
              <w:adjustRightInd w:val="0"/>
              <w:spacing w:after="0"/>
            </w:pPr>
          </w:p>
        </w:tc>
        <w:tc>
          <w:tcPr>
            <w:tcW w:w="2290" w:type="pct"/>
          </w:tcPr>
          <w:p w14:paraId="38B9EA15" w14:textId="733444CB" w:rsidR="00004B5D" w:rsidRDefault="00AD19EB" w:rsidP="00004B5D">
            <w:pPr>
              <w:autoSpaceDE w:val="0"/>
              <w:autoSpaceDN w:val="0"/>
              <w:adjustRightInd w:val="0"/>
              <w:spacing w:after="0"/>
              <w:rPr>
                <w:rFonts w:ascii="Calibri" w:hAnsi="Calibri" w:cs="Calibri"/>
                <w:sz w:val="19"/>
                <w:szCs w:val="19"/>
                <w:lang w:val="en-US"/>
              </w:rPr>
            </w:pPr>
            <w:r>
              <w:rPr>
                <w:rFonts w:ascii="Calibri" w:hAnsi="Calibri" w:cs="Calibri"/>
                <w:sz w:val="19"/>
                <w:szCs w:val="19"/>
                <w:lang w:val="en-US"/>
              </w:rPr>
              <w:t xml:space="preserve">Explain the </w:t>
            </w:r>
            <w:r w:rsidR="00004B5D" w:rsidRPr="00151458">
              <w:rPr>
                <w:rFonts w:ascii="Calibri" w:hAnsi="Calibri" w:cs="Calibri"/>
                <w:sz w:val="19"/>
                <w:szCs w:val="19"/>
                <w:lang w:val="en-US"/>
              </w:rPr>
              <w:t xml:space="preserve">capacities </w:t>
            </w:r>
            <w:r w:rsidR="00004B5D">
              <w:rPr>
                <w:rFonts w:ascii="Calibri" w:hAnsi="Calibri" w:cs="Calibri"/>
                <w:sz w:val="19"/>
                <w:szCs w:val="19"/>
                <w:lang w:val="en-US"/>
              </w:rPr>
              <w:t xml:space="preserve">and expertise </w:t>
            </w:r>
            <w:r w:rsidR="00004B5D" w:rsidRPr="00151458">
              <w:rPr>
                <w:rFonts w:ascii="Calibri" w:hAnsi="Calibri" w:cs="Calibri"/>
                <w:sz w:val="19"/>
                <w:szCs w:val="19"/>
                <w:lang w:val="en-US"/>
              </w:rPr>
              <w:t>developed</w:t>
            </w:r>
            <w:r w:rsidR="00004B5D">
              <w:rPr>
                <w:rFonts w:ascii="Calibri" w:hAnsi="Calibri" w:cs="Calibri"/>
                <w:sz w:val="19"/>
                <w:szCs w:val="19"/>
                <w:lang w:val="en-US"/>
              </w:rPr>
              <w:t xml:space="preserve"> </w:t>
            </w:r>
            <w:r w:rsidR="00DD6C34">
              <w:rPr>
                <w:rFonts w:ascii="Calibri" w:hAnsi="Calibri" w:cs="Calibri"/>
                <w:sz w:val="19"/>
                <w:szCs w:val="19"/>
                <w:lang w:val="en-US"/>
              </w:rPr>
              <w:t>for performing political roles and implementing advocacy strategies</w:t>
            </w:r>
            <w:r w:rsidR="004E5A4F">
              <w:rPr>
                <w:rFonts w:ascii="Calibri" w:hAnsi="Calibri" w:cs="Calibri"/>
                <w:sz w:val="19"/>
                <w:szCs w:val="19"/>
                <w:lang w:val="en-US"/>
              </w:rPr>
              <w:t xml:space="preserve">. </w:t>
            </w:r>
            <w:r w:rsidR="004E5A4F" w:rsidRPr="004E5A4F">
              <w:rPr>
                <w:rFonts w:ascii="Calibri" w:hAnsi="Calibri" w:cs="Calibri"/>
                <w:sz w:val="19"/>
                <w:szCs w:val="19"/>
                <w:lang w:val="en-US"/>
              </w:rPr>
              <w:t xml:space="preserve">From a learning perspective, please also consider explaining cases where CSOs </w:t>
            </w:r>
            <w:r w:rsidR="004E5A4F">
              <w:rPr>
                <w:rFonts w:ascii="Calibri" w:hAnsi="Calibri" w:cs="Calibri"/>
                <w:sz w:val="19"/>
                <w:szCs w:val="19"/>
                <w:lang w:val="en-US"/>
              </w:rPr>
              <w:t>wer</w:t>
            </w:r>
            <w:r w:rsidR="004E5A4F" w:rsidRPr="004E5A4F">
              <w:rPr>
                <w:rFonts w:ascii="Calibri" w:hAnsi="Calibri" w:cs="Calibri"/>
                <w:sz w:val="19"/>
                <w:szCs w:val="19"/>
                <w:lang w:val="en-US"/>
              </w:rPr>
              <w:t xml:space="preserve">e unable to </w:t>
            </w:r>
            <w:r w:rsidR="004E5A4F">
              <w:rPr>
                <w:rFonts w:ascii="Calibri" w:hAnsi="Calibri" w:cs="Calibri"/>
                <w:sz w:val="19"/>
                <w:szCs w:val="19"/>
                <w:lang w:val="en-US"/>
              </w:rPr>
              <w:t>increase their capacity</w:t>
            </w:r>
            <w:r w:rsidR="004E5A4F" w:rsidRPr="004E5A4F">
              <w:rPr>
                <w:rFonts w:ascii="Calibri" w:hAnsi="Calibri" w:cs="Calibri"/>
                <w:sz w:val="19"/>
                <w:szCs w:val="19"/>
                <w:lang w:val="en-US"/>
              </w:rPr>
              <w:t>.</w:t>
            </w:r>
          </w:p>
          <w:p w14:paraId="2B43BEFA" w14:textId="66804F69" w:rsidR="00004B5D" w:rsidRDefault="00004B5D" w:rsidP="00004B5D">
            <w:pPr>
              <w:autoSpaceDE w:val="0"/>
              <w:autoSpaceDN w:val="0"/>
              <w:adjustRightInd w:val="0"/>
              <w:spacing w:after="0"/>
              <w:rPr>
                <w:rFonts w:ascii="Calibri" w:hAnsi="Calibri" w:cs="Calibri"/>
                <w:sz w:val="19"/>
                <w:szCs w:val="19"/>
                <w:lang w:val="en-US"/>
              </w:rPr>
            </w:pPr>
          </w:p>
          <w:p w14:paraId="1EE6BA04" w14:textId="77777777" w:rsidR="005B69DE" w:rsidRDefault="005B69DE" w:rsidP="005B69DE">
            <w:pPr>
              <w:pStyle w:val="Opsomming"/>
            </w:pPr>
            <w:r>
              <w:t>In answering this question it helps to consider…</w:t>
            </w:r>
          </w:p>
          <w:p w14:paraId="3D0DAC37" w14:textId="22F2A150" w:rsidR="00CF5745" w:rsidRDefault="005B69DE" w:rsidP="00004B5D">
            <w:pPr>
              <w:pStyle w:val="ListParagraph"/>
              <w:numPr>
                <w:ilvl w:val="0"/>
                <w:numId w:val="20"/>
              </w:numPr>
              <w:autoSpaceDE w:val="0"/>
              <w:autoSpaceDN w:val="0"/>
              <w:adjustRightInd w:val="0"/>
              <w:rPr>
                <w:rFonts w:ascii="Calibri" w:hAnsi="Calibri"/>
                <w:sz w:val="19"/>
                <w:szCs w:val="19"/>
              </w:rPr>
            </w:pPr>
            <w:r>
              <w:rPr>
                <w:rFonts w:ascii="Calibri" w:hAnsi="Calibri"/>
                <w:sz w:val="19"/>
                <w:szCs w:val="19"/>
              </w:rPr>
              <w:t>…e</w:t>
            </w:r>
            <w:r w:rsidR="00CF5745">
              <w:rPr>
                <w:rFonts w:ascii="Calibri" w:hAnsi="Calibri"/>
                <w:sz w:val="19"/>
                <w:szCs w:val="19"/>
              </w:rPr>
              <w:t>xplain</w:t>
            </w:r>
            <w:r>
              <w:rPr>
                <w:rFonts w:ascii="Calibri" w:hAnsi="Calibri"/>
                <w:sz w:val="19"/>
                <w:szCs w:val="19"/>
              </w:rPr>
              <w:t>ing</w:t>
            </w:r>
            <w:r w:rsidR="00CF5745">
              <w:rPr>
                <w:rFonts w:ascii="Calibri" w:hAnsi="Calibri"/>
                <w:sz w:val="19"/>
                <w:szCs w:val="19"/>
              </w:rPr>
              <w:t xml:space="preserve"> what </w:t>
            </w:r>
            <w:r w:rsidR="006A50F5">
              <w:rPr>
                <w:rFonts w:ascii="Calibri" w:hAnsi="Calibri"/>
                <w:sz w:val="19"/>
                <w:szCs w:val="19"/>
              </w:rPr>
              <w:t xml:space="preserve">different types of </w:t>
            </w:r>
            <w:r w:rsidR="00CF5745">
              <w:rPr>
                <w:rFonts w:ascii="Calibri" w:hAnsi="Calibri"/>
                <w:sz w:val="19"/>
                <w:szCs w:val="19"/>
              </w:rPr>
              <w:t>capacities</w:t>
            </w:r>
            <w:r w:rsidR="006A50F5">
              <w:rPr>
                <w:rFonts w:ascii="Calibri" w:hAnsi="Calibri"/>
                <w:sz w:val="19"/>
                <w:szCs w:val="19"/>
              </w:rPr>
              <w:t xml:space="preserve"> different types of</w:t>
            </w:r>
            <w:r w:rsidR="00CF5745">
              <w:rPr>
                <w:rFonts w:ascii="Calibri" w:hAnsi="Calibri"/>
                <w:sz w:val="19"/>
                <w:szCs w:val="19"/>
              </w:rPr>
              <w:t xml:space="preserve"> CSOs need for performing </w:t>
            </w:r>
            <w:r w:rsidR="0020164B">
              <w:rPr>
                <w:rFonts w:ascii="Calibri" w:hAnsi="Calibri"/>
                <w:sz w:val="19"/>
                <w:szCs w:val="19"/>
              </w:rPr>
              <w:t xml:space="preserve">different </w:t>
            </w:r>
            <w:r w:rsidR="00CF5745">
              <w:rPr>
                <w:rFonts w:ascii="Calibri" w:hAnsi="Calibri"/>
                <w:sz w:val="19"/>
                <w:szCs w:val="19"/>
              </w:rPr>
              <w:t>political roles and implementing advocacy strategies</w:t>
            </w:r>
          </w:p>
          <w:p w14:paraId="03FB708F" w14:textId="7BE990E7" w:rsidR="00CF5745" w:rsidRDefault="005B69DE" w:rsidP="00004B5D">
            <w:pPr>
              <w:pStyle w:val="ListParagraph"/>
              <w:numPr>
                <w:ilvl w:val="0"/>
                <w:numId w:val="20"/>
              </w:numPr>
              <w:autoSpaceDE w:val="0"/>
              <w:autoSpaceDN w:val="0"/>
              <w:adjustRightInd w:val="0"/>
              <w:rPr>
                <w:rFonts w:ascii="Calibri" w:hAnsi="Calibri"/>
                <w:sz w:val="19"/>
                <w:szCs w:val="19"/>
              </w:rPr>
            </w:pPr>
            <w:r>
              <w:rPr>
                <w:rFonts w:ascii="Calibri" w:hAnsi="Calibri"/>
                <w:sz w:val="19"/>
                <w:szCs w:val="19"/>
              </w:rPr>
              <w:t>…e</w:t>
            </w:r>
            <w:r w:rsidR="00CF5745">
              <w:rPr>
                <w:rFonts w:ascii="Calibri" w:hAnsi="Calibri"/>
                <w:sz w:val="19"/>
                <w:szCs w:val="19"/>
              </w:rPr>
              <w:t>xplain</w:t>
            </w:r>
            <w:r>
              <w:rPr>
                <w:rFonts w:ascii="Calibri" w:hAnsi="Calibri"/>
                <w:sz w:val="19"/>
                <w:szCs w:val="19"/>
              </w:rPr>
              <w:t>ing</w:t>
            </w:r>
            <w:r w:rsidR="00CF5745">
              <w:rPr>
                <w:rFonts w:ascii="Calibri" w:hAnsi="Calibri"/>
                <w:sz w:val="19"/>
                <w:szCs w:val="19"/>
              </w:rPr>
              <w:t xml:space="preserve"> how this is context</w:t>
            </w:r>
            <w:r w:rsidR="0020164B">
              <w:rPr>
                <w:rFonts w:ascii="Calibri" w:hAnsi="Calibri"/>
                <w:sz w:val="19"/>
                <w:szCs w:val="19"/>
              </w:rPr>
              <w:t>-</w:t>
            </w:r>
            <w:r w:rsidR="00CF5745">
              <w:rPr>
                <w:rFonts w:ascii="Calibri" w:hAnsi="Calibri"/>
                <w:sz w:val="19"/>
                <w:szCs w:val="19"/>
              </w:rPr>
              <w:t xml:space="preserve">specific and </w:t>
            </w:r>
            <w:r w:rsidR="00FE45A4">
              <w:rPr>
                <w:rFonts w:ascii="Calibri" w:hAnsi="Calibri"/>
                <w:sz w:val="19"/>
                <w:szCs w:val="19"/>
              </w:rPr>
              <w:t>tailors</w:t>
            </w:r>
            <w:r w:rsidR="00CF5745">
              <w:rPr>
                <w:rFonts w:ascii="Calibri" w:hAnsi="Calibri"/>
                <w:sz w:val="19"/>
                <w:szCs w:val="19"/>
              </w:rPr>
              <w:t xml:space="preserve"> to the needs of CSOs</w:t>
            </w:r>
            <w:r w:rsidR="00FE45A4">
              <w:rPr>
                <w:rFonts w:ascii="Calibri" w:hAnsi="Calibri"/>
                <w:sz w:val="19"/>
                <w:szCs w:val="19"/>
              </w:rPr>
              <w:t xml:space="preserve"> and their </w:t>
            </w:r>
            <w:r w:rsidR="00955F13">
              <w:rPr>
                <w:rFonts w:ascii="Calibri" w:hAnsi="Calibri"/>
                <w:sz w:val="19"/>
                <w:szCs w:val="19"/>
              </w:rPr>
              <w:t>constituencies</w:t>
            </w:r>
          </w:p>
          <w:p w14:paraId="3A660151" w14:textId="7BE302BB" w:rsidR="006A50F5" w:rsidRDefault="006A50F5" w:rsidP="00004B5D">
            <w:pPr>
              <w:pStyle w:val="ListParagraph"/>
              <w:numPr>
                <w:ilvl w:val="0"/>
                <w:numId w:val="20"/>
              </w:numPr>
              <w:autoSpaceDE w:val="0"/>
              <w:autoSpaceDN w:val="0"/>
              <w:adjustRightInd w:val="0"/>
              <w:rPr>
                <w:rFonts w:ascii="Calibri" w:hAnsi="Calibri"/>
                <w:sz w:val="19"/>
                <w:szCs w:val="19"/>
              </w:rPr>
            </w:pPr>
            <w:r>
              <w:rPr>
                <w:rFonts w:ascii="Calibri" w:hAnsi="Calibri"/>
                <w:sz w:val="19"/>
                <w:szCs w:val="19"/>
              </w:rPr>
              <w:t>…explaining the process of capacity building</w:t>
            </w:r>
            <w:r w:rsidR="00724D2A">
              <w:rPr>
                <w:rFonts w:ascii="Calibri" w:hAnsi="Calibri"/>
                <w:sz w:val="19"/>
                <w:szCs w:val="19"/>
              </w:rPr>
              <w:t>, what approach works and what doesn’t</w:t>
            </w:r>
          </w:p>
          <w:p w14:paraId="51232C90" w14:textId="77777777" w:rsidR="006A50F5" w:rsidRDefault="006A50F5" w:rsidP="00C77DA1">
            <w:pPr>
              <w:autoSpaceDE w:val="0"/>
              <w:autoSpaceDN w:val="0"/>
              <w:adjustRightInd w:val="0"/>
              <w:rPr>
                <w:rFonts w:ascii="Calibri" w:hAnsi="Calibri"/>
                <w:sz w:val="19"/>
                <w:szCs w:val="19"/>
              </w:rPr>
            </w:pPr>
          </w:p>
          <w:p w14:paraId="6BDB2BEE" w14:textId="0DC017B3" w:rsidR="00AD19EB" w:rsidRDefault="009745B9" w:rsidP="00C77DA1">
            <w:pPr>
              <w:autoSpaceDE w:val="0"/>
              <w:autoSpaceDN w:val="0"/>
              <w:adjustRightInd w:val="0"/>
              <w:rPr>
                <w:rFonts w:ascii="Calibri" w:hAnsi="Calibri"/>
                <w:sz w:val="19"/>
                <w:szCs w:val="19"/>
              </w:rPr>
            </w:pPr>
            <w:r>
              <w:rPr>
                <w:rFonts w:ascii="Calibri" w:hAnsi="Calibri"/>
                <w:sz w:val="19"/>
                <w:szCs w:val="19"/>
              </w:rPr>
              <w:t>Link to D&amp;D ToC:</w:t>
            </w:r>
          </w:p>
          <w:p w14:paraId="68DC7D0D" w14:textId="77777777" w:rsidR="001423EA" w:rsidRDefault="001423EA" w:rsidP="001423EA">
            <w:pPr>
              <w:pStyle w:val="ListParagraph"/>
              <w:numPr>
                <w:ilvl w:val="0"/>
                <w:numId w:val="20"/>
              </w:numPr>
              <w:autoSpaceDE w:val="0"/>
              <w:autoSpaceDN w:val="0"/>
              <w:adjustRightInd w:val="0"/>
              <w:rPr>
                <w:rFonts w:ascii="Calibri" w:hAnsi="Calibri"/>
                <w:sz w:val="19"/>
                <w:szCs w:val="19"/>
              </w:rPr>
            </w:pPr>
            <w:r>
              <w:rPr>
                <w:rFonts w:ascii="Calibri" w:hAnsi="Calibri"/>
                <w:sz w:val="19"/>
                <w:szCs w:val="19"/>
              </w:rPr>
              <w:t>Chapter 4  - explains political roles of CSOs</w:t>
            </w:r>
          </w:p>
          <w:p w14:paraId="14EC5283" w14:textId="77777777" w:rsidR="001423EA" w:rsidRDefault="001423EA" w:rsidP="001423EA">
            <w:pPr>
              <w:pStyle w:val="ListParagraph"/>
              <w:numPr>
                <w:ilvl w:val="0"/>
                <w:numId w:val="20"/>
              </w:numPr>
              <w:autoSpaceDE w:val="0"/>
              <w:autoSpaceDN w:val="0"/>
              <w:adjustRightInd w:val="0"/>
              <w:rPr>
                <w:rFonts w:ascii="Calibri" w:hAnsi="Calibri"/>
                <w:sz w:val="19"/>
                <w:szCs w:val="19"/>
              </w:rPr>
            </w:pPr>
            <w:r>
              <w:rPr>
                <w:rFonts w:ascii="Calibri" w:hAnsi="Calibri"/>
                <w:sz w:val="19"/>
                <w:szCs w:val="19"/>
              </w:rPr>
              <w:t>Paragraph 5.3  - explains advocacy strategies</w:t>
            </w:r>
          </w:p>
          <w:p w14:paraId="177A6132" w14:textId="101E2BEF" w:rsidR="00AD19EB" w:rsidRDefault="00AD19EB" w:rsidP="00AD19EB">
            <w:pPr>
              <w:pStyle w:val="ListParagraph"/>
              <w:numPr>
                <w:ilvl w:val="0"/>
                <w:numId w:val="20"/>
              </w:numPr>
              <w:autoSpaceDE w:val="0"/>
              <w:autoSpaceDN w:val="0"/>
              <w:adjustRightInd w:val="0"/>
              <w:rPr>
                <w:rFonts w:ascii="Calibri" w:hAnsi="Calibri"/>
                <w:sz w:val="19"/>
                <w:szCs w:val="19"/>
              </w:rPr>
            </w:pPr>
            <w:r>
              <w:rPr>
                <w:rFonts w:ascii="Calibri" w:hAnsi="Calibri"/>
                <w:sz w:val="19"/>
                <w:szCs w:val="19"/>
              </w:rPr>
              <w:t>Chapter 6</w:t>
            </w:r>
            <w:r w:rsidR="00DD6C34">
              <w:rPr>
                <w:rFonts w:ascii="Calibri" w:hAnsi="Calibri"/>
                <w:sz w:val="19"/>
                <w:szCs w:val="19"/>
              </w:rPr>
              <w:t xml:space="preserve"> </w:t>
            </w:r>
            <w:r w:rsidR="001423EA">
              <w:rPr>
                <w:rFonts w:ascii="Calibri" w:hAnsi="Calibri"/>
                <w:sz w:val="19"/>
                <w:szCs w:val="19"/>
              </w:rPr>
              <w:t>-</w:t>
            </w:r>
            <w:r w:rsidR="00724D2A">
              <w:rPr>
                <w:rFonts w:ascii="Calibri" w:hAnsi="Calibri"/>
                <w:sz w:val="19"/>
                <w:szCs w:val="19"/>
              </w:rPr>
              <w:t xml:space="preserve"> elaborates on</w:t>
            </w:r>
            <w:r w:rsidR="00DD6C34">
              <w:rPr>
                <w:rFonts w:ascii="Calibri" w:hAnsi="Calibri"/>
                <w:sz w:val="19"/>
                <w:szCs w:val="19"/>
              </w:rPr>
              <w:t xml:space="preserve"> capacity development</w:t>
            </w:r>
          </w:p>
          <w:p w14:paraId="3409E787" w14:textId="3C3A6756" w:rsidR="00AD19EB" w:rsidRPr="001423EA" w:rsidRDefault="00DD6C34" w:rsidP="001423EA">
            <w:pPr>
              <w:pStyle w:val="ListParagraph"/>
              <w:numPr>
                <w:ilvl w:val="0"/>
                <w:numId w:val="20"/>
              </w:numPr>
              <w:autoSpaceDE w:val="0"/>
              <w:autoSpaceDN w:val="0"/>
              <w:adjustRightInd w:val="0"/>
              <w:rPr>
                <w:rFonts w:ascii="Calibri" w:hAnsi="Calibri"/>
                <w:sz w:val="19"/>
                <w:szCs w:val="19"/>
              </w:rPr>
            </w:pPr>
            <w:r>
              <w:rPr>
                <w:rFonts w:ascii="Calibri" w:hAnsi="Calibri"/>
                <w:sz w:val="19"/>
                <w:szCs w:val="19"/>
              </w:rPr>
              <w:t>Paragraph 6. 3</w:t>
            </w:r>
            <w:r w:rsidR="00724D2A">
              <w:rPr>
                <w:rFonts w:ascii="Calibri" w:hAnsi="Calibri"/>
                <w:sz w:val="19"/>
                <w:szCs w:val="19"/>
              </w:rPr>
              <w:t xml:space="preserve"> -</w:t>
            </w:r>
            <w:r>
              <w:rPr>
                <w:rFonts w:ascii="Calibri" w:hAnsi="Calibri"/>
                <w:sz w:val="19"/>
                <w:szCs w:val="19"/>
              </w:rPr>
              <w:t xml:space="preserve"> explains how different organisational setups relate to different political roles</w:t>
            </w:r>
          </w:p>
        </w:tc>
      </w:tr>
      <w:tr w:rsidR="00004B5D" w:rsidRPr="004034DB" w14:paraId="2CBE7534" w14:textId="77777777" w:rsidTr="00454C7B">
        <w:tc>
          <w:tcPr>
            <w:tcW w:w="141" w:type="pct"/>
            <w:vMerge/>
          </w:tcPr>
          <w:p w14:paraId="68BB70B2" w14:textId="77777777" w:rsidR="00004B5D" w:rsidRPr="004034DB" w:rsidRDefault="00004B5D" w:rsidP="00F60585">
            <w:pPr>
              <w:pStyle w:val="Broodtekst"/>
              <w:rPr>
                <w:rFonts w:ascii="Calibri" w:hAnsi="Calibri"/>
                <w:color w:val="auto"/>
                <w:sz w:val="20"/>
                <w:szCs w:val="20"/>
              </w:rPr>
            </w:pPr>
          </w:p>
        </w:tc>
        <w:tc>
          <w:tcPr>
            <w:tcW w:w="1538" w:type="pct"/>
          </w:tcPr>
          <w:p w14:paraId="79DF5692" w14:textId="230B9EBE" w:rsidR="00004B5D" w:rsidRPr="004034DB" w:rsidRDefault="00004B5D" w:rsidP="0066304B">
            <w:pPr>
              <w:pStyle w:val="Resultsub"/>
              <w:rPr>
                <w:color w:val="auto"/>
              </w:rPr>
            </w:pPr>
            <w:r>
              <w:rPr>
                <w:b/>
                <w:color w:val="auto"/>
              </w:rPr>
              <w:t>S</w:t>
            </w:r>
            <w:r w:rsidRPr="004034DB">
              <w:rPr>
                <w:b/>
                <w:color w:val="auto"/>
              </w:rPr>
              <w:t xml:space="preserve">CSOs improve their </w:t>
            </w:r>
            <w:r w:rsidRPr="004034DB">
              <w:rPr>
                <w:b/>
                <w:color w:val="76410D" w:themeColor="accent3" w:themeShade="80"/>
              </w:rPr>
              <w:t>legitimacy</w:t>
            </w:r>
            <w:r w:rsidRPr="004034DB">
              <w:rPr>
                <w:b/>
                <w:color w:val="auto"/>
              </w:rPr>
              <w:t xml:space="preserve"> to lobby and advocate</w:t>
            </w:r>
            <w:r w:rsidRPr="004034DB">
              <w:rPr>
                <w:color w:val="auto"/>
              </w:rPr>
              <w:t xml:space="preserve"> for the claims of societal groups</w:t>
            </w:r>
          </w:p>
          <w:p w14:paraId="08090D30" w14:textId="77777777" w:rsidR="00004B5D" w:rsidRPr="004034DB" w:rsidRDefault="00004B5D">
            <w:pPr>
              <w:pStyle w:val="Opsomming"/>
              <w:numPr>
                <w:ilvl w:val="0"/>
                <w:numId w:val="3"/>
              </w:numPr>
            </w:pPr>
            <w:r w:rsidRPr="004034DB">
              <w:t xml:space="preserve">Active consultation and participation of members / constituency in formulation and implementation of advocacy strategies </w:t>
            </w:r>
          </w:p>
          <w:p w14:paraId="5E4B9E83" w14:textId="77777777" w:rsidR="00004B5D" w:rsidRPr="004034DB" w:rsidRDefault="00004B5D">
            <w:pPr>
              <w:pStyle w:val="Opsomming"/>
              <w:numPr>
                <w:ilvl w:val="0"/>
                <w:numId w:val="3"/>
              </w:numPr>
              <w:rPr>
                <w:rFonts w:cs="Times New Roman"/>
              </w:rPr>
            </w:pPr>
            <w:r w:rsidRPr="004034DB">
              <w:t>Establishing credibility to L&amp;A for the issues / claims</w:t>
            </w:r>
            <w:r w:rsidRPr="004034DB" w:rsidDel="00153B33">
              <w:t xml:space="preserve"> </w:t>
            </w:r>
            <w:r w:rsidRPr="004034DB">
              <w:t>based on knowledge, position, experience or independence</w:t>
            </w:r>
          </w:p>
        </w:tc>
        <w:tc>
          <w:tcPr>
            <w:tcW w:w="1031" w:type="pct"/>
          </w:tcPr>
          <w:p w14:paraId="7B46A2CA" w14:textId="2D8C016D" w:rsidR="00004B5D" w:rsidRPr="004034DB" w:rsidRDefault="00AD19EB">
            <w:pPr>
              <w:pStyle w:val="Opsomming"/>
            </w:pPr>
            <w:r>
              <w:t>No quantitative indicator.</w:t>
            </w:r>
          </w:p>
        </w:tc>
        <w:tc>
          <w:tcPr>
            <w:tcW w:w="2290" w:type="pct"/>
          </w:tcPr>
          <w:p w14:paraId="4C5505D3" w14:textId="123CF86E" w:rsidR="001423EA" w:rsidRDefault="00CF5745" w:rsidP="001423EA">
            <w:pPr>
              <w:autoSpaceDE w:val="0"/>
              <w:autoSpaceDN w:val="0"/>
              <w:adjustRightInd w:val="0"/>
              <w:spacing w:after="0"/>
              <w:rPr>
                <w:rFonts w:ascii="Calibri" w:hAnsi="Calibri" w:cs="Calibri"/>
                <w:sz w:val="19"/>
                <w:szCs w:val="19"/>
                <w:lang w:val="en-US"/>
              </w:rPr>
            </w:pPr>
            <w:r>
              <w:rPr>
                <w:rFonts w:ascii="Calibri" w:hAnsi="Calibri" w:cs="Calibri"/>
                <w:sz w:val="19"/>
                <w:szCs w:val="19"/>
                <w:lang w:val="en-US"/>
              </w:rPr>
              <w:t>Explain the source(s) of legitimacy of the CSOs and how they are strengthened through capacity building</w:t>
            </w:r>
            <w:r w:rsidR="001423EA">
              <w:rPr>
                <w:rFonts w:ascii="Calibri" w:hAnsi="Calibri" w:cs="Calibri"/>
                <w:sz w:val="19"/>
                <w:szCs w:val="19"/>
                <w:lang w:val="en-US"/>
              </w:rPr>
              <w:t xml:space="preserve">. </w:t>
            </w:r>
            <w:r w:rsidR="001423EA" w:rsidRPr="004E5A4F">
              <w:rPr>
                <w:rFonts w:ascii="Calibri" w:hAnsi="Calibri" w:cs="Calibri"/>
                <w:sz w:val="19"/>
                <w:szCs w:val="19"/>
                <w:lang w:val="en-US"/>
              </w:rPr>
              <w:t xml:space="preserve">From a learning perspective, please also consider explaining cases where CSOs </w:t>
            </w:r>
            <w:r w:rsidR="001423EA">
              <w:rPr>
                <w:rFonts w:ascii="Calibri" w:hAnsi="Calibri" w:cs="Calibri"/>
                <w:sz w:val="19"/>
                <w:szCs w:val="19"/>
                <w:lang w:val="en-US"/>
              </w:rPr>
              <w:t>wer</w:t>
            </w:r>
            <w:r w:rsidR="001423EA" w:rsidRPr="004E5A4F">
              <w:rPr>
                <w:rFonts w:ascii="Calibri" w:hAnsi="Calibri" w:cs="Calibri"/>
                <w:sz w:val="19"/>
                <w:szCs w:val="19"/>
                <w:lang w:val="en-US"/>
              </w:rPr>
              <w:t xml:space="preserve">e unable to </w:t>
            </w:r>
            <w:r w:rsidR="001423EA">
              <w:rPr>
                <w:rFonts w:ascii="Calibri" w:hAnsi="Calibri" w:cs="Calibri"/>
                <w:sz w:val="19"/>
                <w:szCs w:val="19"/>
                <w:lang w:val="en-US"/>
              </w:rPr>
              <w:t>increase their legitimacy</w:t>
            </w:r>
            <w:r w:rsidR="001423EA" w:rsidRPr="004E5A4F">
              <w:rPr>
                <w:rFonts w:ascii="Calibri" w:hAnsi="Calibri" w:cs="Calibri"/>
                <w:sz w:val="19"/>
                <w:szCs w:val="19"/>
                <w:lang w:val="en-US"/>
              </w:rPr>
              <w:t>.</w:t>
            </w:r>
          </w:p>
          <w:p w14:paraId="475D472F" w14:textId="3E5EC2C1" w:rsidR="00CF5745" w:rsidRDefault="00CF5745" w:rsidP="00AD19EB">
            <w:pPr>
              <w:autoSpaceDE w:val="0"/>
              <w:autoSpaceDN w:val="0"/>
              <w:adjustRightInd w:val="0"/>
              <w:spacing w:after="0"/>
              <w:rPr>
                <w:rFonts w:ascii="Calibri" w:hAnsi="Calibri" w:cs="Calibri"/>
                <w:sz w:val="19"/>
                <w:szCs w:val="19"/>
                <w:lang w:val="en-US"/>
              </w:rPr>
            </w:pPr>
          </w:p>
          <w:p w14:paraId="37EBB4DE" w14:textId="77777777" w:rsidR="001423EA" w:rsidRDefault="001423EA" w:rsidP="001423EA">
            <w:pPr>
              <w:pStyle w:val="Opsomming"/>
            </w:pPr>
            <w:r>
              <w:t>In answering this question it helps to consider…</w:t>
            </w:r>
          </w:p>
          <w:p w14:paraId="057984CD" w14:textId="62CD728C" w:rsidR="0020164B" w:rsidRDefault="001423EA" w:rsidP="0020164B">
            <w:pPr>
              <w:pStyle w:val="ListParagraph"/>
              <w:numPr>
                <w:ilvl w:val="0"/>
                <w:numId w:val="20"/>
              </w:numPr>
              <w:autoSpaceDE w:val="0"/>
              <w:autoSpaceDN w:val="0"/>
              <w:adjustRightInd w:val="0"/>
              <w:rPr>
                <w:rFonts w:ascii="Calibri" w:hAnsi="Calibri"/>
                <w:sz w:val="19"/>
                <w:szCs w:val="19"/>
              </w:rPr>
            </w:pPr>
            <w:r>
              <w:rPr>
                <w:rFonts w:ascii="Calibri" w:hAnsi="Calibri"/>
                <w:sz w:val="19"/>
                <w:szCs w:val="19"/>
              </w:rPr>
              <w:t>…e</w:t>
            </w:r>
            <w:r w:rsidR="0020164B">
              <w:rPr>
                <w:rFonts w:ascii="Calibri" w:hAnsi="Calibri"/>
                <w:sz w:val="19"/>
                <w:szCs w:val="19"/>
              </w:rPr>
              <w:t>xplain</w:t>
            </w:r>
            <w:r>
              <w:rPr>
                <w:rFonts w:ascii="Calibri" w:hAnsi="Calibri"/>
                <w:sz w:val="19"/>
                <w:szCs w:val="19"/>
              </w:rPr>
              <w:t>ing</w:t>
            </w:r>
            <w:r w:rsidR="0020164B">
              <w:rPr>
                <w:rFonts w:ascii="Calibri" w:hAnsi="Calibri"/>
                <w:sz w:val="19"/>
                <w:szCs w:val="19"/>
              </w:rPr>
              <w:t xml:space="preserve"> to what extent</w:t>
            </w:r>
            <w:r w:rsidR="00CF18A8">
              <w:rPr>
                <w:rFonts w:ascii="Calibri" w:hAnsi="Calibri"/>
                <w:sz w:val="19"/>
                <w:szCs w:val="19"/>
              </w:rPr>
              <w:t xml:space="preserve"> capacity building improves the way</w:t>
            </w:r>
            <w:r w:rsidR="0020164B">
              <w:rPr>
                <w:rFonts w:ascii="Calibri" w:hAnsi="Calibri"/>
                <w:sz w:val="19"/>
                <w:szCs w:val="19"/>
              </w:rPr>
              <w:t xml:space="preserve"> CSOs are able to represent/involve their membership or constituency</w:t>
            </w:r>
          </w:p>
          <w:p w14:paraId="2EFD871A" w14:textId="6D76D86F" w:rsidR="00396A28" w:rsidRDefault="00396A28" w:rsidP="00396A28">
            <w:pPr>
              <w:pStyle w:val="ListParagraph"/>
              <w:numPr>
                <w:ilvl w:val="0"/>
                <w:numId w:val="20"/>
              </w:numPr>
              <w:autoSpaceDE w:val="0"/>
              <w:autoSpaceDN w:val="0"/>
              <w:adjustRightInd w:val="0"/>
              <w:rPr>
                <w:rFonts w:ascii="Calibri" w:hAnsi="Calibri"/>
                <w:sz w:val="19"/>
                <w:szCs w:val="19"/>
              </w:rPr>
            </w:pPr>
            <w:r>
              <w:rPr>
                <w:rFonts w:ascii="Calibri" w:hAnsi="Calibri"/>
                <w:sz w:val="19"/>
                <w:szCs w:val="19"/>
              </w:rPr>
              <w:t>…explaining how CSOs are context-specific and tailor to the needs of their members/constituencies</w:t>
            </w:r>
          </w:p>
          <w:p w14:paraId="3F668A0B" w14:textId="1C545DBC" w:rsidR="0020164B" w:rsidRDefault="001423EA" w:rsidP="0020164B">
            <w:pPr>
              <w:pStyle w:val="ListParagraph"/>
              <w:numPr>
                <w:ilvl w:val="0"/>
                <w:numId w:val="20"/>
              </w:numPr>
              <w:autoSpaceDE w:val="0"/>
              <w:autoSpaceDN w:val="0"/>
              <w:adjustRightInd w:val="0"/>
              <w:rPr>
                <w:rFonts w:ascii="Calibri" w:hAnsi="Calibri"/>
                <w:sz w:val="19"/>
                <w:szCs w:val="19"/>
              </w:rPr>
            </w:pPr>
            <w:r>
              <w:rPr>
                <w:rFonts w:ascii="Calibri" w:hAnsi="Calibri"/>
                <w:sz w:val="19"/>
                <w:szCs w:val="19"/>
              </w:rPr>
              <w:t>…e</w:t>
            </w:r>
            <w:r w:rsidR="00CF18A8">
              <w:rPr>
                <w:rFonts w:ascii="Calibri" w:hAnsi="Calibri"/>
                <w:sz w:val="19"/>
                <w:szCs w:val="19"/>
              </w:rPr>
              <w:t>xplain</w:t>
            </w:r>
            <w:r>
              <w:rPr>
                <w:rFonts w:ascii="Calibri" w:hAnsi="Calibri"/>
                <w:sz w:val="19"/>
                <w:szCs w:val="19"/>
              </w:rPr>
              <w:t>ing</w:t>
            </w:r>
            <w:r w:rsidR="00CF18A8">
              <w:rPr>
                <w:rFonts w:ascii="Calibri" w:hAnsi="Calibri"/>
                <w:sz w:val="19"/>
                <w:szCs w:val="19"/>
              </w:rPr>
              <w:t xml:space="preserve"> to what extent capacity building improves</w:t>
            </w:r>
            <w:r w:rsidR="0020164B">
              <w:rPr>
                <w:rFonts w:ascii="Calibri" w:hAnsi="Calibri"/>
                <w:sz w:val="19"/>
                <w:szCs w:val="19"/>
              </w:rPr>
              <w:t xml:space="preserve"> the </w:t>
            </w:r>
            <w:r w:rsidR="00CF18A8">
              <w:rPr>
                <w:rFonts w:ascii="Calibri" w:hAnsi="Calibri"/>
                <w:sz w:val="19"/>
                <w:szCs w:val="19"/>
              </w:rPr>
              <w:t>e</w:t>
            </w:r>
            <w:r w:rsidR="0020164B" w:rsidRPr="00004B5D">
              <w:rPr>
                <w:rFonts w:ascii="Calibri" w:hAnsi="Calibri"/>
                <w:sz w:val="19"/>
                <w:szCs w:val="19"/>
              </w:rPr>
              <w:t>xpertise</w:t>
            </w:r>
            <w:r w:rsidR="00CF18A8">
              <w:rPr>
                <w:rFonts w:ascii="Calibri" w:hAnsi="Calibri"/>
                <w:sz w:val="19"/>
                <w:szCs w:val="19"/>
              </w:rPr>
              <w:t xml:space="preserve"> of CSOs</w:t>
            </w:r>
            <w:r w:rsidR="0020164B" w:rsidRPr="00004B5D">
              <w:rPr>
                <w:rFonts w:ascii="Calibri" w:hAnsi="Calibri"/>
                <w:sz w:val="19"/>
                <w:szCs w:val="19"/>
              </w:rPr>
              <w:t xml:space="preserve"> for which </w:t>
            </w:r>
            <w:r w:rsidR="00CF18A8">
              <w:rPr>
                <w:rFonts w:ascii="Calibri" w:hAnsi="Calibri"/>
                <w:sz w:val="19"/>
                <w:szCs w:val="19"/>
              </w:rPr>
              <w:t>they are</w:t>
            </w:r>
            <w:r w:rsidR="0020164B" w:rsidRPr="00004B5D">
              <w:rPr>
                <w:rFonts w:ascii="Calibri" w:hAnsi="Calibri"/>
                <w:sz w:val="19"/>
                <w:szCs w:val="19"/>
              </w:rPr>
              <w:t xml:space="preserve"> acknowledged by government, private sector and societal actors</w:t>
            </w:r>
          </w:p>
          <w:p w14:paraId="0B42AF58" w14:textId="1C02C7A6" w:rsidR="0020164B" w:rsidRDefault="001423EA" w:rsidP="0020164B">
            <w:pPr>
              <w:pStyle w:val="ListParagraph"/>
              <w:numPr>
                <w:ilvl w:val="0"/>
                <w:numId w:val="20"/>
              </w:numPr>
              <w:autoSpaceDE w:val="0"/>
              <w:autoSpaceDN w:val="0"/>
              <w:adjustRightInd w:val="0"/>
              <w:rPr>
                <w:rFonts w:ascii="Calibri" w:hAnsi="Calibri"/>
                <w:sz w:val="19"/>
                <w:szCs w:val="19"/>
              </w:rPr>
            </w:pPr>
            <w:r>
              <w:rPr>
                <w:rFonts w:ascii="Calibri" w:hAnsi="Calibri"/>
                <w:sz w:val="19"/>
                <w:szCs w:val="19"/>
              </w:rPr>
              <w:t>…</w:t>
            </w:r>
            <w:r w:rsidR="0020164B">
              <w:rPr>
                <w:rFonts w:ascii="Calibri" w:hAnsi="Calibri"/>
                <w:sz w:val="19"/>
                <w:szCs w:val="19"/>
              </w:rPr>
              <w:t xml:space="preserve">the idea that different types of CSOs have different sources of legitimacy </w:t>
            </w:r>
            <w:r>
              <w:rPr>
                <w:rFonts w:ascii="Calibri" w:hAnsi="Calibri"/>
                <w:sz w:val="19"/>
                <w:szCs w:val="19"/>
              </w:rPr>
              <w:t>f</w:t>
            </w:r>
            <w:r w:rsidR="0020164B">
              <w:rPr>
                <w:rFonts w:ascii="Calibri" w:hAnsi="Calibri"/>
                <w:sz w:val="19"/>
                <w:szCs w:val="19"/>
              </w:rPr>
              <w:t>o</w:t>
            </w:r>
            <w:r>
              <w:rPr>
                <w:rFonts w:ascii="Calibri" w:hAnsi="Calibri"/>
                <w:sz w:val="19"/>
                <w:szCs w:val="19"/>
              </w:rPr>
              <w:t>r</w:t>
            </w:r>
            <w:r w:rsidR="0020164B">
              <w:rPr>
                <w:rFonts w:ascii="Calibri" w:hAnsi="Calibri"/>
                <w:sz w:val="19"/>
                <w:szCs w:val="19"/>
              </w:rPr>
              <w:t xml:space="preserve"> perform</w:t>
            </w:r>
            <w:r>
              <w:rPr>
                <w:rFonts w:ascii="Calibri" w:hAnsi="Calibri"/>
                <w:sz w:val="19"/>
                <w:szCs w:val="19"/>
              </w:rPr>
              <w:t>ing</w:t>
            </w:r>
            <w:r w:rsidR="0020164B">
              <w:rPr>
                <w:rFonts w:ascii="Calibri" w:hAnsi="Calibri"/>
                <w:sz w:val="19"/>
                <w:szCs w:val="19"/>
              </w:rPr>
              <w:t xml:space="preserve"> different political roles and implement</w:t>
            </w:r>
            <w:r>
              <w:rPr>
                <w:rFonts w:ascii="Calibri" w:hAnsi="Calibri"/>
                <w:sz w:val="19"/>
                <w:szCs w:val="19"/>
              </w:rPr>
              <w:t>ing</w:t>
            </w:r>
            <w:r w:rsidR="0020164B">
              <w:rPr>
                <w:rFonts w:ascii="Calibri" w:hAnsi="Calibri"/>
                <w:sz w:val="19"/>
                <w:szCs w:val="19"/>
              </w:rPr>
              <w:t xml:space="preserve"> different advocacy strategies</w:t>
            </w:r>
          </w:p>
          <w:p w14:paraId="4EC2579F" w14:textId="1B9E15F1" w:rsidR="0020164B" w:rsidRDefault="0020164B" w:rsidP="00C77DA1">
            <w:pPr>
              <w:autoSpaceDE w:val="0"/>
              <w:autoSpaceDN w:val="0"/>
              <w:adjustRightInd w:val="0"/>
              <w:rPr>
                <w:rFonts w:ascii="Calibri" w:hAnsi="Calibri"/>
                <w:sz w:val="19"/>
                <w:szCs w:val="19"/>
              </w:rPr>
            </w:pPr>
          </w:p>
          <w:p w14:paraId="1ABC7AF2" w14:textId="1AEDD1E5" w:rsidR="0020164B" w:rsidRPr="00C77DA1" w:rsidRDefault="009745B9" w:rsidP="00C77DA1">
            <w:pPr>
              <w:autoSpaceDE w:val="0"/>
              <w:autoSpaceDN w:val="0"/>
              <w:adjustRightInd w:val="0"/>
              <w:rPr>
                <w:rFonts w:ascii="Calibri" w:hAnsi="Calibri"/>
                <w:sz w:val="19"/>
                <w:szCs w:val="19"/>
              </w:rPr>
            </w:pPr>
            <w:r>
              <w:rPr>
                <w:rFonts w:ascii="Calibri" w:hAnsi="Calibri"/>
                <w:sz w:val="19"/>
                <w:szCs w:val="19"/>
              </w:rPr>
              <w:t>Link to D&amp;D ToC:</w:t>
            </w:r>
          </w:p>
          <w:p w14:paraId="201CB42A" w14:textId="77777777" w:rsidR="001423EA" w:rsidRDefault="001423EA" w:rsidP="001423EA">
            <w:pPr>
              <w:pStyle w:val="ListParagraph"/>
              <w:numPr>
                <w:ilvl w:val="0"/>
                <w:numId w:val="20"/>
              </w:numPr>
              <w:autoSpaceDE w:val="0"/>
              <w:autoSpaceDN w:val="0"/>
              <w:adjustRightInd w:val="0"/>
              <w:rPr>
                <w:rFonts w:ascii="Calibri" w:hAnsi="Calibri"/>
                <w:sz w:val="19"/>
                <w:szCs w:val="19"/>
              </w:rPr>
            </w:pPr>
            <w:r>
              <w:rPr>
                <w:rFonts w:ascii="Calibri" w:hAnsi="Calibri"/>
                <w:sz w:val="19"/>
                <w:szCs w:val="19"/>
              </w:rPr>
              <w:t>Chapter 3 - explains criticism on civil society support, including lack of legitimacy, and how D&amp;D aims to address this criticism</w:t>
            </w:r>
          </w:p>
          <w:p w14:paraId="5E5E8D67" w14:textId="6463F4D0" w:rsidR="001423EA" w:rsidRDefault="001423EA" w:rsidP="001423EA">
            <w:pPr>
              <w:pStyle w:val="ListParagraph"/>
              <w:numPr>
                <w:ilvl w:val="0"/>
                <w:numId w:val="20"/>
              </w:numPr>
              <w:autoSpaceDE w:val="0"/>
              <w:autoSpaceDN w:val="0"/>
              <w:adjustRightInd w:val="0"/>
              <w:rPr>
                <w:rFonts w:ascii="Calibri" w:hAnsi="Calibri"/>
                <w:sz w:val="19"/>
                <w:szCs w:val="19"/>
              </w:rPr>
            </w:pPr>
            <w:r>
              <w:rPr>
                <w:rFonts w:ascii="Calibri" w:hAnsi="Calibri"/>
                <w:sz w:val="19"/>
                <w:szCs w:val="19"/>
              </w:rPr>
              <w:t>Chapter 4 &amp; 5 - A note of caution (p</w:t>
            </w:r>
            <w:r w:rsidR="009745B9">
              <w:rPr>
                <w:rFonts w:ascii="Calibri" w:hAnsi="Calibri"/>
                <w:sz w:val="19"/>
                <w:szCs w:val="19"/>
              </w:rPr>
              <w:t>.</w:t>
            </w:r>
            <w:r>
              <w:rPr>
                <w:rFonts w:ascii="Calibri" w:hAnsi="Calibri"/>
                <w:sz w:val="19"/>
                <w:szCs w:val="19"/>
              </w:rPr>
              <w:t>17 &amp; p</w:t>
            </w:r>
            <w:r w:rsidR="009745B9">
              <w:rPr>
                <w:rFonts w:ascii="Calibri" w:hAnsi="Calibri"/>
                <w:sz w:val="19"/>
                <w:szCs w:val="19"/>
              </w:rPr>
              <w:t>.</w:t>
            </w:r>
            <w:r>
              <w:rPr>
                <w:rFonts w:ascii="Calibri" w:hAnsi="Calibri"/>
                <w:sz w:val="19"/>
                <w:szCs w:val="19"/>
              </w:rPr>
              <w:t xml:space="preserve">23), explains criticism on </w:t>
            </w:r>
            <w:r w:rsidR="009745B9">
              <w:rPr>
                <w:rFonts w:ascii="Calibri" w:hAnsi="Calibri"/>
                <w:sz w:val="19"/>
                <w:szCs w:val="19"/>
              </w:rPr>
              <w:t xml:space="preserve">theories of </w:t>
            </w:r>
            <w:r>
              <w:rPr>
                <w:rFonts w:ascii="Calibri" w:hAnsi="Calibri"/>
                <w:sz w:val="19"/>
                <w:szCs w:val="19"/>
              </w:rPr>
              <w:t xml:space="preserve">civil society and advocacy </w:t>
            </w:r>
          </w:p>
          <w:p w14:paraId="339315F7" w14:textId="135986CB" w:rsidR="00004B5D" w:rsidRPr="009745B9" w:rsidRDefault="00CF18A8" w:rsidP="009745B9">
            <w:pPr>
              <w:pStyle w:val="ListParagraph"/>
              <w:numPr>
                <w:ilvl w:val="0"/>
                <w:numId w:val="20"/>
              </w:numPr>
              <w:autoSpaceDE w:val="0"/>
              <w:autoSpaceDN w:val="0"/>
              <w:adjustRightInd w:val="0"/>
              <w:rPr>
                <w:rFonts w:ascii="Calibri" w:hAnsi="Calibri"/>
                <w:sz w:val="19"/>
                <w:szCs w:val="19"/>
              </w:rPr>
            </w:pPr>
            <w:r>
              <w:rPr>
                <w:rFonts w:ascii="Calibri" w:hAnsi="Calibri"/>
                <w:sz w:val="19"/>
                <w:szCs w:val="19"/>
              </w:rPr>
              <w:t>Paragraph 6. 3</w:t>
            </w:r>
            <w:r w:rsidR="001423EA">
              <w:rPr>
                <w:rFonts w:ascii="Calibri" w:hAnsi="Calibri"/>
                <w:sz w:val="19"/>
                <w:szCs w:val="19"/>
              </w:rPr>
              <w:t xml:space="preserve"> -</w:t>
            </w:r>
            <w:r>
              <w:rPr>
                <w:rFonts w:ascii="Calibri" w:hAnsi="Calibri"/>
                <w:sz w:val="19"/>
                <w:szCs w:val="19"/>
              </w:rPr>
              <w:t xml:space="preserve"> explains how different types of CSOs have different sources of legitimacy</w:t>
            </w:r>
          </w:p>
        </w:tc>
      </w:tr>
      <w:tr w:rsidR="00FA5D20" w:rsidRPr="004034DB" w14:paraId="07D2DFCC" w14:textId="77777777" w:rsidTr="00454C7B">
        <w:tc>
          <w:tcPr>
            <w:tcW w:w="141" w:type="pct"/>
          </w:tcPr>
          <w:p w14:paraId="52F82DFE" w14:textId="77777777" w:rsidR="006A3652" w:rsidRPr="004034DB" w:rsidRDefault="006A3652" w:rsidP="0037104B">
            <w:pPr>
              <w:pStyle w:val="Broodtekst"/>
              <w:rPr>
                <w:rFonts w:ascii="Calibri" w:hAnsi="Calibri"/>
                <w:color w:val="auto"/>
                <w:sz w:val="20"/>
                <w:szCs w:val="20"/>
              </w:rPr>
            </w:pPr>
          </w:p>
        </w:tc>
        <w:tc>
          <w:tcPr>
            <w:tcW w:w="1538" w:type="pct"/>
          </w:tcPr>
          <w:p w14:paraId="16095985" w14:textId="77777777" w:rsidR="006A3652" w:rsidRPr="004034DB" w:rsidRDefault="006A3652">
            <w:pPr>
              <w:pStyle w:val="Opsomming"/>
            </w:pPr>
            <w:r w:rsidRPr="004034DB">
              <w:t>Scope</w:t>
            </w:r>
          </w:p>
        </w:tc>
        <w:tc>
          <w:tcPr>
            <w:tcW w:w="1031" w:type="pct"/>
          </w:tcPr>
          <w:p w14:paraId="7883917C" w14:textId="2CB3EDBD" w:rsidR="006A3652" w:rsidRDefault="006A3652">
            <w:pPr>
              <w:pStyle w:val="Opsomming"/>
            </w:pPr>
            <w:r w:rsidRPr="004034DB">
              <w:t xml:space="preserve"># of </w:t>
            </w:r>
            <w:r w:rsidR="00ED6303">
              <w:t>CSOs</w:t>
            </w:r>
            <w:r w:rsidR="00ED6303" w:rsidRPr="004034DB">
              <w:t xml:space="preserve"> </w:t>
            </w:r>
            <w:r w:rsidRPr="004034DB">
              <w:t xml:space="preserve">included in </w:t>
            </w:r>
            <w:r w:rsidR="00441675" w:rsidRPr="004034DB">
              <w:t xml:space="preserve">SPs </w:t>
            </w:r>
            <w:r w:rsidRPr="004034DB">
              <w:t>programmes</w:t>
            </w:r>
          </w:p>
          <w:p w14:paraId="5E3626D9" w14:textId="7D723849" w:rsidR="00ED6303" w:rsidRDefault="00ED6303">
            <w:pPr>
              <w:pStyle w:val="Opsomming"/>
            </w:pPr>
          </w:p>
          <w:p w14:paraId="21E6389D" w14:textId="50DAE953" w:rsidR="00ED6303" w:rsidRDefault="00ED6303">
            <w:pPr>
              <w:pStyle w:val="Opsomming"/>
            </w:pPr>
            <w:r>
              <w:t>Explanation:</w:t>
            </w:r>
          </w:p>
          <w:p w14:paraId="7FBBFA89" w14:textId="7F2AB3C5" w:rsidR="00750008" w:rsidRPr="004034DB" w:rsidRDefault="00ED6303" w:rsidP="00454C7B">
            <w:pPr>
              <w:pStyle w:val="Opsomming"/>
            </w:pPr>
            <w:r>
              <w:t>This includes both first and second tier partners</w:t>
            </w:r>
          </w:p>
        </w:tc>
        <w:tc>
          <w:tcPr>
            <w:tcW w:w="2290" w:type="pct"/>
          </w:tcPr>
          <w:p w14:paraId="698754F3" w14:textId="0DB44846" w:rsidR="006A3652" w:rsidRPr="004034DB" w:rsidRDefault="00CF5745">
            <w:pPr>
              <w:pStyle w:val="Opsomming"/>
            </w:pPr>
            <w:r>
              <w:t>Describe the t</w:t>
            </w:r>
            <w:r w:rsidR="00750008">
              <w:t>ypes of partners involved</w:t>
            </w:r>
          </w:p>
        </w:tc>
      </w:tr>
    </w:tbl>
    <w:p w14:paraId="3EC17C13" w14:textId="77777777" w:rsidR="00DE7E57" w:rsidRPr="00B6296A" w:rsidRDefault="00DE7E57" w:rsidP="00944791">
      <w:pPr>
        <w:rPr>
          <w:sz w:val="22"/>
          <w:lang w:val="en-US"/>
        </w:rPr>
      </w:pPr>
    </w:p>
    <w:sectPr w:rsidR="00DE7E57" w:rsidRPr="00B6296A" w:rsidSect="00FA5D20">
      <w:footerReference w:type="default" r:id="rId12"/>
      <w:pgSz w:w="16838" w:h="11906" w:orient="landscape" w:code="9"/>
      <w:pgMar w:top="1134" w:right="1134"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6F2C6" w14:textId="77777777" w:rsidR="00707C55" w:rsidRDefault="00707C55" w:rsidP="004E49B6">
      <w:pPr>
        <w:spacing w:after="0" w:line="240" w:lineRule="auto"/>
      </w:pPr>
      <w:r>
        <w:separator/>
      </w:r>
    </w:p>
  </w:endnote>
  <w:endnote w:type="continuationSeparator" w:id="0">
    <w:p w14:paraId="0881E130" w14:textId="77777777" w:rsidR="00707C55" w:rsidRDefault="00707C55" w:rsidP="004E49B6">
      <w:pPr>
        <w:spacing w:after="0" w:line="240" w:lineRule="auto"/>
      </w:pPr>
      <w:r>
        <w:continuationSeparator/>
      </w:r>
    </w:p>
  </w:endnote>
  <w:endnote w:type="continuationNotice" w:id="1">
    <w:p w14:paraId="580A40A4" w14:textId="77777777" w:rsidR="00707C55" w:rsidRDefault="00707C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GothicITCbyBT-Book">
    <w:altName w:val="Calibri"/>
    <w:panose1 w:val="020B0604020202020204"/>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604020202020204"/>
    <w:charset w:val="00"/>
    <w:family w:val="swiss"/>
    <w:pitch w:val="variable"/>
    <w:sig w:usb0="E10022FF" w:usb1="C000E47F" w:usb2="00000029" w:usb3="00000000" w:csb0="000001DF" w:csb1="00000000"/>
  </w:font>
  <w:font w:name="Calibri-Bold">
    <w:altName w:val="Times New Roman"/>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44ED1" w14:textId="75151F11" w:rsidR="004E5A4F" w:rsidRPr="00290726" w:rsidRDefault="004E5A4F" w:rsidP="00290726">
    <w:pPr>
      <w:pStyle w:val="Footer"/>
    </w:pPr>
    <w:r>
      <w:rPr>
        <w:noProof/>
        <w:lang w:eastAsia="en-GB"/>
      </w:rPr>
      <mc:AlternateContent>
        <mc:Choice Requires="wps">
          <w:drawing>
            <wp:anchor distT="0" distB="0" distL="114300" distR="114300" simplePos="0" relativeHeight="251660288" behindDoc="0" locked="0" layoutInCell="1" allowOverlap="1" wp14:anchorId="5D1AB1EA" wp14:editId="64283EE3">
              <wp:simplePos x="0" y="0"/>
              <wp:positionH relativeFrom="column">
                <wp:posOffset>4720590</wp:posOffset>
              </wp:positionH>
              <wp:positionV relativeFrom="paragraph">
                <wp:posOffset>87630</wp:posOffset>
              </wp:positionV>
              <wp:extent cx="4826212" cy="291844"/>
              <wp:effectExtent l="0" t="0" r="0" b="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212" cy="291844"/>
                      </a:xfrm>
                      <a:prstGeom prst="rect">
                        <a:avLst/>
                      </a:prstGeom>
                      <a:noFill/>
                      <a:ln w="6350">
                        <a:noFill/>
                      </a:ln>
                    </wps:spPr>
                    <wps:txbx>
                      <w:txbxContent>
                        <w:p w14:paraId="5D5D3774" w14:textId="5B4DEE8D" w:rsidR="004E5A4F" w:rsidRPr="00441675" w:rsidRDefault="004E5A4F" w:rsidP="00F7319E">
                          <w:pPr>
                            <w:pStyle w:val="Footer"/>
                            <w:jc w:val="right"/>
                            <w:rPr>
                              <w:b/>
                              <w:color w:val="B16214" w:themeColor="accent3" w:themeShade="BF"/>
                              <w:sz w:val="18"/>
                              <w:szCs w:val="18"/>
                            </w:rPr>
                          </w:pPr>
                          <w:r w:rsidRPr="00441675">
                            <w:rPr>
                              <w:rFonts w:cstheme="minorHAnsi"/>
                              <w:b/>
                              <w:bCs/>
                              <w:color w:val="B16214" w:themeColor="accent3" w:themeShade="BF"/>
                              <w:sz w:val="18"/>
                              <w:szCs w:val="18"/>
                            </w:rPr>
                            <w:fldChar w:fldCharType="begin"/>
                          </w:r>
                          <w:r w:rsidRPr="00441675">
                            <w:rPr>
                              <w:rFonts w:cstheme="minorHAnsi"/>
                              <w:b/>
                              <w:bCs/>
                              <w:color w:val="B16214" w:themeColor="accent3" w:themeShade="BF"/>
                              <w:sz w:val="18"/>
                              <w:szCs w:val="18"/>
                            </w:rPr>
                            <w:instrText>PAGE  \* Arabic  \* MERGEFORMAT</w:instrText>
                          </w:r>
                          <w:r w:rsidRPr="00441675">
                            <w:rPr>
                              <w:rFonts w:cstheme="minorHAnsi"/>
                              <w:b/>
                              <w:bCs/>
                              <w:color w:val="B16214" w:themeColor="accent3" w:themeShade="BF"/>
                              <w:sz w:val="18"/>
                              <w:szCs w:val="18"/>
                            </w:rPr>
                            <w:fldChar w:fldCharType="separate"/>
                          </w:r>
                          <w:r w:rsidR="00CD4E96">
                            <w:rPr>
                              <w:rFonts w:cstheme="minorHAnsi"/>
                              <w:b/>
                              <w:bCs/>
                              <w:noProof/>
                              <w:color w:val="B16214" w:themeColor="accent3" w:themeShade="BF"/>
                              <w:sz w:val="18"/>
                              <w:szCs w:val="18"/>
                            </w:rPr>
                            <w:t>2</w:t>
                          </w:r>
                          <w:r w:rsidRPr="00441675">
                            <w:rPr>
                              <w:rFonts w:cstheme="minorHAnsi"/>
                              <w:b/>
                              <w:bCs/>
                              <w:color w:val="B16214" w:themeColor="accent3" w:themeShade="BF"/>
                              <w:sz w:val="18"/>
                              <w:szCs w:val="18"/>
                            </w:rPr>
                            <w:fldChar w:fldCharType="end"/>
                          </w:r>
                          <w:r w:rsidRPr="00441675">
                            <w:rPr>
                              <w:rFonts w:cstheme="minorHAnsi"/>
                              <w:b/>
                              <w:color w:val="B16214" w:themeColor="accent3" w:themeShade="BF"/>
                              <w:sz w:val="18"/>
                              <w:szCs w:val="18"/>
                            </w:rPr>
                            <w:t xml:space="preserve"> / </w:t>
                          </w:r>
                          <w:r w:rsidRPr="00441675">
                            <w:rPr>
                              <w:b/>
                              <w:color w:val="B16214" w:themeColor="accent3" w:themeShade="BF"/>
                              <w:sz w:val="18"/>
                              <w:szCs w:val="18"/>
                            </w:rPr>
                            <w:fldChar w:fldCharType="begin"/>
                          </w:r>
                          <w:r w:rsidRPr="00441675">
                            <w:rPr>
                              <w:b/>
                              <w:color w:val="B16214" w:themeColor="accent3" w:themeShade="BF"/>
                              <w:sz w:val="18"/>
                              <w:szCs w:val="18"/>
                            </w:rPr>
                            <w:instrText>NUMPAGES  \* Arabic  \* MERGEFORMAT</w:instrText>
                          </w:r>
                          <w:r w:rsidRPr="00441675">
                            <w:rPr>
                              <w:b/>
                              <w:color w:val="B16214" w:themeColor="accent3" w:themeShade="BF"/>
                              <w:sz w:val="18"/>
                              <w:szCs w:val="18"/>
                            </w:rPr>
                            <w:fldChar w:fldCharType="separate"/>
                          </w:r>
                          <w:r w:rsidR="00CD4E96">
                            <w:rPr>
                              <w:b/>
                              <w:noProof/>
                              <w:color w:val="B16214" w:themeColor="accent3" w:themeShade="BF"/>
                              <w:sz w:val="18"/>
                              <w:szCs w:val="18"/>
                            </w:rPr>
                            <w:t>5</w:t>
                          </w:r>
                          <w:r w:rsidRPr="00441675">
                            <w:rPr>
                              <w:rFonts w:cstheme="minorHAnsi"/>
                              <w:b/>
                              <w:bCs/>
                              <w:noProof/>
                              <w:color w:val="B16214" w:themeColor="accent3" w:themeShade="BF"/>
                              <w:sz w:val="18"/>
                              <w:szCs w:val="18"/>
                            </w:rPr>
                            <w:fldChar w:fldCharType="end"/>
                          </w:r>
                          <w:r w:rsidRPr="00441675">
                            <w:rPr>
                              <w:rFonts w:cstheme="minorHAnsi"/>
                              <w:b/>
                              <w:bCs/>
                              <w:color w:val="B16214" w:themeColor="accent3" w:themeShade="BF"/>
                              <w:sz w:val="18"/>
                              <w:szCs w:val="18"/>
                            </w:rPr>
                            <w:t xml:space="preserve">  | RESULT</w:t>
                          </w:r>
                          <w:r w:rsidRPr="00441675">
                            <w:rPr>
                              <w:rFonts w:cstheme="minorHAnsi"/>
                              <w:b/>
                              <w:color w:val="B16214" w:themeColor="accent3" w:themeShade="BF"/>
                              <w:sz w:val="18"/>
                              <w:szCs w:val="18"/>
                            </w:rPr>
                            <w:t xml:space="preserve">S </w:t>
                          </w:r>
                          <w:r>
                            <w:rPr>
                              <w:rFonts w:cstheme="minorHAnsi"/>
                              <w:b/>
                              <w:color w:val="B16214" w:themeColor="accent3" w:themeShade="BF"/>
                              <w:sz w:val="18"/>
                              <w:szCs w:val="18"/>
                            </w:rPr>
                            <w:t xml:space="preserve">of </w:t>
                          </w:r>
                          <w:r w:rsidRPr="00441675">
                            <w:rPr>
                              <w:rFonts w:cstheme="minorHAnsi"/>
                              <w:b/>
                              <w:color w:val="B16214" w:themeColor="accent3" w:themeShade="BF"/>
                              <w:sz w:val="18"/>
                              <w:szCs w:val="18"/>
                            </w:rPr>
                            <w:t>POLICY</w:t>
                          </w:r>
                          <w:r>
                            <w:rPr>
                              <w:rFonts w:cstheme="minorHAnsi"/>
                              <w:b/>
                              <w:color w:val="B16214" w:themeColor="accent3" w:themeShade="BF"/>
                              <w:sz w:val="18"/>
                              <w:szCs w:val="18"/>
                            </w:rPr>
                            <w:t xml:space="preserve"> </w:t>
                          </w:r>
                          <w:r w:rsidRPr="00441675">
                            <w:rPr>
                              <w:rFonts w:cstheme="minorHAnsi"/>
                              <w:b/>
                              <w:color w:val="B16214" w:themeColor="accent3" w:themeShade="BF"/>
                              <w:sz w:val="18"/>
                              <w:szCs w:val="18"/>
                            </w:rPr>
                            <w:t xml:space="preserve">FRAMEWORK </w:t>
                          </w:r>
                          <w:r>
                            <w:rPr>
                              <w:rFonts w:cstheme="minorHAnsi"/>
                              <w:b/>
                              <w:color w:val="B16214" w:themeColor="accent3" w:themeShade="BF"/>
                              <w:sz w:val="18"/>
                              <w:szCs w:val="18"/>
                            </w:rPr>
                            <w:t>“</w:t>
                          </w:r>
                          <w:r w:rsidRPr="00441675">
                            <w:rPr>
                              <w:rFonts w:cstheme="minorHAnsi"/>
                              <w:b/>
                              <w:color w:val="B16214" w:themeColor="accent3" w:themeShade="BF"/>
                              <w:sz w:val="18"/>
                              <w:szCs w:val="18"/>
                            </w:rPr>
                            <w:t>DIALOGUE &amp; DISSENT</w:t>
                          </w:r>
                          <w:r>
                            <w:rPr>
                              <w:rFonts w:cstheme="minorHAnsi"/>
                              <w:b/>
                              <w:color w:val="B16214" w:themeColor="accent3" w:themeShade="BF"/>
                              <w:sz w:val="18"/>
                              <w:szCs w:val="18"/>
                            </w:rPr>
                            <w:t>”</w:t>
                          </w:r>
                        </w:p>
                        <w:p w14:paraId="05AB95A2" w14:textId="77777777" w:rsidR="004E5A4F" w:rsidRDefault="004E5A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D1AB1EA" id="_x0000_t202" coordsize="21600,21600" o:spt="202" path="m,l,21600r21600,l21600,xe">
              <v:stroke joinstyle="miter"/>
              <v:path gradientshapeok="t" o:connecttype="rect"/>
            </v:shapetype>
            <v:shape id="Tekstvak 1" o:spid="_x0000_s1026" type="#_x0000_t202" style="position:absolute;margin-left:371.7pt;margin-top:6.9pt;width:380pt;height: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" filled="f" stroked="f" strokeweight=".5pt">
              <v:textbox>
                <w:txbxContent>
                  <w:p w14:paraId="5D5D3774" w14:textId="5B4DEE8D" w:rsidR="004E5A4F" w:rsidRPr="00441675" w:rsidRDefault="004E5A4F" w:rsidP="00F7319E">
                    <w:pPr>
                      <w:pStyle w:val="Footer"/>
                      <w:jc w:val="right"/>
                      <w:rPr>
                        <w:b/>
                        <w:color w:val="B16214" w:themeColor="accent3" w:themeShade="BF"/>
                        <w:sz w:val="18"/>
                        <w:szCs w:val="18"/>
                      </w:rPr>
                    </w:pPr>
                    <w:r w:rsidRPr="00441675">
                      <w:rPr>
                        <w:rFonts w:cstheme="minorHAnsi"/>
                        <w:b/>
                        <w:bCs/>
                        <w:color w:val="B16214" w:themeColor="accent3" w:themeShade="BF"/>
                        <w:sz w:val="18"/>
                        <w:szCs w:val="18"/>
                      </w:rPr>
                      <w:fldChar w:fldCharType="begin"/>
                    </w:r>
                    <w:r w:rsidRPr="00441675">
                      <w:rPr>
                        <w:rFonts w:cstheme="minorHAnsi"/>
                        <w:b/>
                        <w:bCs/>
                        <w:color w:val="B16214" w:themeColor="accent3" w:themeShade="BF"/>
                        <w:sz w:val="18"/>
                        <w:szCs w:val="18"/>
                      </w:rPr>
                      <w:instrText>PAGE  \* Arabic  \* MERGEFORMAT</w:instrText>
                    </w:r>
                    <w:r w:rsidRPr="00441675">
                      <w:rPr>
                        <w:rFonts w:cstheme="minorHAnsi"/>
                        <w:b/>
                        <w:bCs/>
                        <w:color w:val="B16214" w:themeColor="accent3" w:themeShade="BF"/>
                        <w:sz w:val="18"/>
                        <w:szCs w:val="18"/>
                      </w:rPr>
                      <w:fldChar w:fldCharType="separate"/>
                    </w:r>
                    <w:r w:rsidR="00CD4E96">
                      <w:rPr>
                        <w:rFonts w:cstheme="minorHAnsi"/>
                        <w:b/>
                        <w:bCs/>
                        <w:noProof/>
                        <w:color w:val="B16214" w:themeColor="accent3" w:themeShade="BF"/>
                        <w:sz w:val="18"/>
                        <w:szCs w:val="18"/>
                      </w:rPr>
                      <w:t>2</w:t>
                    </w:r>
                    <w:r w:rsidRPr="00441675">
                      <w:rPr>
                        <w:rFonts w:cstheme="minorHAnsi"/>
                        <w:b/>
                        <w:bCs/>
                        <w:color w:val="B16214" w:themeColor="accent3" w:themeShade="BF"/>
                        <w:sz w:val="18"/>
                        <w:szCs w:val="18"/>
                      </w:rPr>
                      <w:fldChar w:fldCharType="end"/>
                    </w:r>
                    <w:r w:rsidRPr="00441675">
                      <w:rPr>
                        <w:rFonts w:cstheme="minorHAnsi"/>
                        <w:b/>
                        <w:color w:val="B16214" w:themeColor="accent3" w:themeShade="BF"/>
                        <w:sz w:val="18"/>
                        <w:szCs w:val="18"/>
                      </w:rPr>
                      <w:t xml:space="preserve"> / </w:t>
                    </w:r>
                    <w:r w:rsidRPr="00441675">
                      <w:rPr>
                        <w:b/>
                        <w:color w:val="B16214" w:themeColor="accent3" w:themeShade="BF"/>
                        <w:sz w:val="18"/>
                        <w:szCs w:val="18"/>
                      </w:rPr>
                      <w:fldChar w:fldCharType="begin"/>
                    </w:r>
                    <w:r w:rsidRPr="00441675">
                      <w:rPr>
                        <w:b/>
                        <w:color w:val="B16214" w:themeColor="accent3" w:themeShade="BF"/>
                        <w:sz w:val="18"/>
                        <w:szCs w:val="18"/>
                      </w:rPr>
                      <w:instrText>NUMPAGES  \* Arabic  \* MERGEFORMAT</w:instrText>
                    </w:r>
                    <w:r w:rsidRPr="00441675">
                      <w:rPr>
                        <w:b/>
                        <w:color w:val="B16214" w:themeColor="accent3" w:themeShade="BF"/>
                        <w:sz w:val="18"/>
                        <w:szCs w:val="18"/>
                      </w:rPr>
                      <w:fldChar w:fldCharType="separate"/>
                    </w:r>
                    <w:r w:rsidR="00CD4E96">
                      <w:rPr>
                        <w:b/>
                        <w:noProof/>
                        <w:color w:val="B16214" w:themeColor="accent3" w:themeShade="BF"/>
                        <w:sz w:val="18"/>
                        <w:szCs w:val="18"/>
                      </w:rPr>
                      <w:t>5</w:t>
                    </w:r>
                    <w:r w:rsidRPr="00441675">
                      <w:rPr>
                        <w:rFonts w:cstheme="minorHAnsi"/>
                        <w:b/>
                        <w:bCs/>
                        <w:noProof/>
                        <w:color w:val="B16214" w:themeColor="accent3" w:themeShade="BF"/>
                        <w:sz w:val="18"/>
                        <w:szCs w:val="18"/>
                      </w:rPr>
                      <w:fldChar w:fldCharType="end"/>
                    </w:r>
                    <w:r w:rsidRPr="00441675">
                      <w:rPr>
                        <w:rFonts w:cstheme="minorHAnsi"/>
                        <w:b/>
                        <w:bCs/>
                        <w:color w:val="B16214" w:themeColor="accent3" w:themeShade="BF"/>
                        <w:sz w:val="18"/>
                        <w:szCs w:val="18"/>
                      </w:rPr>
                      <w:t xml:space="preserve">  | RESULT</w:t>
                    </w:r>
                    <w:r w:rsidRPr="00441675">
                      <w:rPr>
                        <w:rFonts w:cstheme="minorHAnsi"/>
                        <w:b/>
                        <w:color w:val="B16214" w:themeColor="accent3" w:themeShade="BF"/>
                        <w:sz w:val="18"/>
                        <w:szCs w:val="18"/>
                      </w:rPr>
                      <w:t xml:space="preserve">S </w:t>
                    </w:r>
                    <w:r>
                      <w:rPr>
                        <w:rFonts w:cstheme="minorHAnsi"/>
                        <w:b/>
                        <w:color w:val="B16214" w:themeColor="accent3" w:themeShade="BF"/>
                        <w:sz w:val="18"/>
                        <w:szCs w:val="18"/>
                      </w:rPr>
                      <w:t xml:space="preserve">of </w:t>
                    </w:r>
                    <w:r w:rsidRPr="00441675">
                      <w:rPr>
                        <w:rFonts w:cstheme="minorHAnsi"/>
                        <w:b/>
                        <w:color w:val="B16214" w:themeColor="accent3" w:themeShade="BF"/>
                        <w:sz w:val="18"/>
                        <w:szCs w:val="18"/>
                      </w:rPr>
                      <w:t>POLICY</w:t>
                    </w:r>
                    <w:r>
                      <w:rPr>
                        <w:rFonts w:cstheme="minorHAnsi"/>
                        <w:b/>
                        <w:color w:val="B16214" w:themeColor="accent3" w:themeShade="BF"/>
                        <w:sz w:val="18"/>
                        <w:szCs w:val="18"/>
                      </w:rPr>
                      <w:t xml:space="preserve"> </w:t>
                    </w:r>
                    <w:r w:rsidRPr="00441675">
                      <w:rPr>
                        <w:rFonts w:cstheme="minorHAnsi"/>
                        <w:b/>
                        <w:color w:val="B16214" w:themeColor="accent3" w:themeShade="BF"/>
                        <w:sz w:val="18"/>
                        <w:szCs w:val="18"/>
                      </w:rPr>
                      <w:t xml:space="preserve">FRAMEWORK </w:t>
                    </w:r>
                    <w:r>
                      <w:rPr>
                        <w:rFonts w:cstheme="minorHAnsi"/>
                        <w:b/>
                        <w:color w:val="B16214" w:themeColor="accent3" w:themeShade="BF"/>
                        <w:sz w:val="18"/>
                        <w:szCs w:val="18"/>
                      </w:rPr>
                      <w:t>“</w:t>
                    </w:r>
                    <w:r w:rsidRPr="00441675">
                      <w:rPr>
                        <w:rFonts w:cstheme="minorHAnsi"/>
                        <w:b/>
                        <w:color w:val="B16214" w:themeColor="accent3" w:themeShade="BF"/>
                        <w:sz w:val="18"/>
                        <w:szCs w:val="18"/>
                      </w:rPr>
                      <w:t>DIALOGUE &amp; DISSENT</w:t>
                    </w:r>
                    <w:r>
                      <w:rPr>
                        <w:rFonts w:cstheme="minorHAnsi"/>
                        <w:b/>
                        <w:color w:val="B16214" w:themeColor="accent3" w:themeShade="BF"/>
                        <w:sz w:val="18"/>
                        <w:szCs w:val="18"/>
                      </w:rPr>
                      <w:t>”</w:t>
                    </w:r>
                  </w:p>
                  <w:p w14:paraId="05AB95A2" w14:textId="77777777" w:rsidR="004E5A4F" w:rsidRDefault="004E5A4F"/>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39439" w14:textId="77777777" w:rsidR="00707C55" w:rsidRDefault="00707C55" w:rsidP="004E49B6">
      <w:pPr>
        <w:spacing w:after="0" w:line="240" w:lineRule="auto"/>
      </w:pPr>
      <w:r>
        <w:separator/>
      </w:r>
    </w:p>
  </w:footnote>
  <w:footnote w:type="continuationSeparator" w:id="0">
    <w:p w14:paraId="0E959194" w14:textId="77777777" w:rsidR="00707C55" w:rsidRDefault="00707C55" w:rsidP="004E49B6">
      <w:pPr>
        <w:spacing w:after="0" w:line="240" w:lineRule="auto"/>
      </w:pPr>
      <w:r>
        <w:continuationSeparator/>
      </w:r>
    </w:p>
  </w:footnote>
  <w:footnote w:type="continuationNotice" w:id="1">
    <w:p w14:paraId="30DD86A1" w14:textId="77777777" w:rsidR="00707C55" w:rsidRDefault="00707C5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329E"/>
    <w:multiLevelType w:val="hybridMultilevel"/>
    <w:tmpl w:val="81D40C0A"/>
    <w:lvl w:ilvl="0" w:tplc="32FC4254">
      <w:start w:val="2"/>
      <w:numFmt w:val="bullet"/>
      <w:lvlText w:val="-"/>
      <w:lvlJc w:val="left"/>
      <w:pPr>
        <w:ind w:left="570" w:hanging="360"/>
      </w:pPr>
      <w:rPr>
        <w:rFonts w:ascii="Calibri" w:eastAsiaTheme="minorEastAsia" w:hAnsi="Calibri" w:cs="FranklinGothicITCbyBT-Book"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15:restartNumberingAfterBreak="0">
    <w:nsid w:val="041306F3"/>
    <w:multiLevelType w:val="hybridMultilevel"/>
    <w:tmpl w:val="9A5E722A"/>
    <w:lvl w:ilvl="0" w:tplc="CD8066A0">
      <w:start w:val="1"/>
      <w:numFmt w:val="bullet"/>
      <w:lvlText w:val="-"/>
      <w:lvlJc w:val="left"/>
      <w:pPr>
        <w:ind w:left="750" w:hanging="360"/>
      </w:pPr>
      <w:rPr>
        <w:rFonts w:ascii="Courier New" w:hAnsi="Courier New"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15:restartNumberingAfterBreak="0">
    <w:nsid w:val="10BB1B96"/>
    <w:multiLevelType w:val="hybridMultilevel"/>
    <w:tmpl w:val="93105D44"/>
    <w:lvl w:ilvl="0" w:tplc="CD8066A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11FAF"/>
    <w:multiLevelType w:val="hybridMultilevel"/>
    <w:tmpl w:val="46800548"/>
    <w:lvl w:ilvl="0" w:tplc="04130001">
      <w:start w:val="1"/>
      <w:numFmt w:val="bullet"/>
      <w:lvlText w:val=""/>
      <w:lvlJc w:val="left"/>
      <w:pPr>
        <w:ind w:left="750" w:hanging="360"/>
      </w:pPr>
      <w:rPr>
        <w:rFonts w:ascii="Symbol" w:hAnsi="Symbol" w:hint="default"/>
      </w:rPr>
    </w:lvl>
    <w:lvl w:ilvl="1" w:tplc="04130003" w:tentative="1">
      <w:start w:val="1"/>
      <w:numFmt w:val="bullet"/>
      <w:lvlText w:val="o"/>
      <w:lvlJc w:val="left"/>
      <w:pPr>
        <w:ind w:left="1470" w:hanging="360"/>
      </w:pPr>
      <w:rPr>
        <w:rFonts w:ascii="Courier New" w:hAnsi="Courier New" w:cs="Courier New" w:hint="default"/>
      </w:rPr>
    </w:lvl>
    <w:lvl w:ilvl="2" w:tplc="04130005" w:tentative="1">
      <w:start w:val="1"/>
      <w:numFmt w:val="bullet"/>
      <w:lvlText w:val=""/>
      <w:lvlJc w:val="left"/>
      <w:pPr>
        <w:ind w:left="2190" w:hanging="360"/>
      </w:pPr>
      <w:rPr>
        <w:rFonts w:ascii="Wingdings" w:hAnsi="Wingdings" w:hint="default"/>
      </w:rPr>
    </w:lvl>
    <w:lvl w:ilvl="3" w:tplc="04130001" w:tentative="1">
      <w:start w:val="1"/>
      <w:numFmt w:val="bullet"/>
      <w:lvlText w:val=""/>
      <w:lvlJc w:val="left"/>
      <w:pPr>
        <w:ind w:left="2910" w:hanging="360"/>
      </w:pPr>
      <w:rPr>
        <w:rFonts w:ascii="Symbol" w:hAnsi="Symbol" w:hint="default"/>
      </w:rPr>
    </w:lvl>
    <w:lvl w:ilvl="4" w:tplc="04130003" w:tentative="1">
      <w:start w:val="1"/>
      <w:numFmt w:val="bullet"/>
      <w:lvlText w:val="o"/>
      <w:lvlJc w:val="left"/>
      <w:pPr>
        <w:ind w:left="3630" w:hanging="360"/>
      </w:pPr>
      <w:rPr>
        <w:rFonts w:ascii="Courier New" w:hAnsi="Courier New" w:cs="Courier New" w:hint="default"/>
      </w:rPr>
    </w:lvl>
    <w:lvl w:ilvl="5" w:tplc="04130005" w:tentative="1">
      <w:start w:val="1"/>
      <w:numFmt w:val="bullet"/>
      <w:lvlText w:val=""/>
      <w:lvlJc w:val="left"/>
      <w:pPr>
        <w:ind w:left="4350" w:hanging="360"/>
      </w:pPr>
      <w:rPr>
        <w:rFonts w:ascii="Wingdings" w:hAnsi="Wingdings" w:hint="default"/>
      </w:rPr>
    </w:lvl>
    <w:lvl w:ilvl="6" w:tplc="04130001" w:tentative="1">
      <w:start w:val="1"/>
      <w:numFmt w:val="bullet"/>
      <w:lvlText w:val=""/>
      <w:lvlJc w:val="left"/>
      <w:pPr>
        <w:ind w:left="5070" w:hanging="360"/>
      </w:pPr>
      <w:rPr>
        <w:rFonts w:ascii="Symbol" w:hAnsi="Symbol" w:hint="default"/>
      </w:rPr>
    </w:lvl>
    <w:lvl w:ilvl="7" w:tplc="04130003" w:tentative="1">
      <w:start w:val="1"/>
      <w:numFmt w:val="bullet"/>
      <w:lvlText w:val="o"/>
      <w:lvlJc w:val="left"/>
      <w:pPr>
        <w:ind w:left="5790" w:hanging="360"/>
      </w:pPr>
      <w:rPr>
        <w:rFonts w:ascii="Courier New" w:hAnsi="Courier New" w:cs="Courier New" w:hint="default"/>
      </w:rPr>
    </w:lvl>
    <w:lvl w:ilvl="8" w:tplc="04130005" w:tentative="1">
      <w:start w:val="1"/>
      <w:numFmt w:val="bullet"/>
      <w:lvlText w:val=""/>
      <w:lvlJc w:val="left"/>
      <w:pPr>
        <w:ind w:left="6510" w:hanging="360"/>
      </w:pPr>
      <w:rPr>
        <w:rFonts w:ascii="Wingdings" w:hAnsi="Wingdings" w:hint="default"/>
      </w:rPr>
    </w:lvl>
  </w:abstractNum>
  <w:abstractNum w:abstractNumId="4" w15:restartNumberingAfterBreak="0">
    <w:nsid w:val="11E64D18"/>
    <w:multiLevelType w:val="hybridMultilevel"/>
    <w:tmpl w:val="A322FFD8"/>
    <w:lvl w:ilvl="0" w:tplc="04130001">
      <w:start w:val="1"/>
      <w:numFmt w:val="bullet"/>
      <w:lvlText w:val=""/>
      <w:lvlJc w:val="left"/>
      <w:pPr>
        <w:ind w:left="750" w:hanging="360"/>
      </w:pPr>
      <w:rPr>
        <w:rFonts w:ascii="Symbol" w:hAnsi="Symbol" w:hint="default"/>
      </w:rPr>
    </w:lvl>
    <w:lvl w:ilvl="1" w:tplc="04130003" w:tentative="1">
      <w:start w:val="1"/>
      <w:numFmt w:val="bullet"/>
      <w:lvlText w:val="o"/>
      <w:lvlJc w:val="left"/>
      <w:pPr>
        <w:ind w:left="1470" w:hanging="360"/>
      </w:pPr>
      <w:rPr>
        <w:rFonts w:ascii="Courier New" w:hAnsi="Courier New" w:cs="Courier New" w:hint="default"/>
      </w:rPr>
    </w:lvl>
    <w:lvl w:ilvl="2" w:tplc="04130005" w:tentative="1">
      <w:start w:val="1"/>
      <w:numFmt w:val="bullet"/>
      <w:lvlText w:val=""/>
      <w:lvlJc w:val="left"/>
      <w:pPr>
        <w:ind w:left="2190" w:hanging="360"/>
      </w:pPr>
      <w:rPr>
        <w:rFonts w:ascii="Wingdings" w:hAnsi="Wingdings" w:hint="default"/>
      </w:rPr>
    </w:lvl>
    <w:lvl w:ilvl="3" w:tplc="04130001" w:tentative="1">
      <w:start w:val="1"/>
      <w:numFmt w:val="bullet"/>
      <w:lvlText w:val=""/>
      <w:lvlJc w:val="left"/>
      <w:pPr>
        <w:ind w:left="2910" w:hanging="360"/>
      </w:pPr>
      <w:rPr>
        <w:rFonts w:ascii="Symbol" w:hAnsi="Symbol" w:hint="default"/>
      </w:rPr>
    </w:lvl>
    <w:lvl w:ilvl="4" w:tplc="04130003" w:tentative="1">
      <w:start w:val="1"/>
      <w:numFmt w:val="bullet"/>
      <w:lvlText w:val="o"/>
      <w:lvlJc w:val="left"/>
      <w:pPr>
        <w:ind w:left="3630" w:hanging="360"/>
      </w:pPr>
      <w:rPr>
        <w:rFonts w:ascii="Courier New" w:hAnsi="Courier New" w:cs="Courier New" w:hint="default"/>
      </w:rPr>
    </w:lvl>
    <w:lvl w:ilvl="5" w:tplc="04130005" w:tentative="1">
      <w:start w:val="1"/>
      <w:numFmt w:val="bullet"/>
      <w:lvlText w:val=""/>
      <w:lvlJc w:val="left"/>
      <w:pPr>
        <w:ind w:left="4350" w:hanging="360"/>
      </w:pPr>
      <w:rPr>
        <w:rFonts w:ascii="Wingdings" w:hAnsi="Wingdings" w:hint="default"/>
      </w:rPr>
    </w:lvl>
    <w:lvl w:ilvl="6" w:tplc="04130001" w:tentative="1">
      <w:start w:val="1"/>
      <w:numFmt w:val="bullet"/>
      <w:lvlText w:val=""/>
      <w:lvlJc w:val="left"/>
      <w:pPr>
        <w:ind w:left="5070" w:hanging="360"/>
      </w:pPr>
      <w:rPr>
        <w:rFonts w:ascii="Symbol" w:hAnsi="Symbol" w:hint="default"/>
      </w:rPr>
    </w:lvl>
    <w:lvl w:ilvl="7" w:tplc="04130003" w:tentative="1">
      <w:start w:val="1"/>
      <w:numFmt w:val="bullet"/>
      <w:lvlText w:val="o"/>
      <w:lvlJc w:val="left"/>
      <w:pPr>
        <w:ind w:left="5790" w:hanging="360"/>
      </w:pPr>
      <w:rPr>
        <w:rFonts w:ascii="Courier New" w:hAnsi="Courier New" w:cs="Courier New" w:hint="default"/>
      </w:rPr>
    </w:lvl>
    <w:lvl w:ilvl="8" w:tplc="04130005" w:tentative="1">
      <w:start w:val="1"/>
      <w:numFmt w:val="bullet"/>
      <w:lvlText w:val=""/>
      <w:lvlJc w:val="left"/>
      <w:pPr>
        <w:ind w:left="6510" w:hanging="360"/>
      </w:pPr>
      <w:rPr>
        <w:rFonts w:ascii="Wingdings" w:hAnsi="Wingdings" w:hint="default"/>
      </w:rPr>
    </w:lvl>
  </w:abstractNum>
  <w:abstractNum w:abstractNumId="5" w15:restartNumberingAfterBreak="0">
    <w:nsid w:val="1341544F"/>
    <w:multiLevelType w:val="hybridMultilevel"/>
    <w:tmpl w:val="573C32F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15:restartNumberingAfterBreak="0">
    <w:nsid w:val="143564FC"/>
    <w:multiLevelType w:val="hybridMultilevel"/>
    <w:tmpl w:val="B3C633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6433E3C"/>
    <w:multiLevelType w:val="hybridMultilevel"/>
    <w:tmpl w:val="D124E2F4"/>
    <w:lvl w:ilvl="0" w:tplc="E51858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162FBA"/>
    <w:multiLevelType w:val="hybridMultilevel"/>
    <w:tmpl w:val="BAC487C8"/>
    <w:lvl w:ilvl="0" w:tplc="7BC6F1DA">
      <w:start w:val="1"/>
      <w:numFmt w:val="decimal"/>
      <w:lvlText w:val="%1)"/>
      <w:lvlJc w:val="left"/>
      <w:pPr>
        <w:ind w:left="405" w:hanging="360"/>
      </w:pPr>
      <w:rPr>
        <w:rFonts w:hint="default"/>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9" w15:restartNumberingAfterBreak="0">
    <w:nsid w:val="25B833CD"/>
    <w:multiLevelType w:val="hybridMultilevel"/>
    <w:tmpl w:val="E19E07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E40AC5"/>
    <w:multiLevelType w:val="hybridMultilevel"/>
    <w:tmpl w:val="BCFCB49C"/>
    <w:lvl w:ilvl="0" w:tplc="49B29F6E">
      <w:start w:val="6"/>
      <w:numFmt w:val="bullet"/>
      <w:lvlText w:val="-"/>
      <w:lvlJc w:val="left"/>
      <w:pPr>
        <w:ind w:left="720" w:hanging="360"/>
      </w:pPr>
      <w:rPr>
        <w:rFonts w:ascii="FranklinGothicITCbyBT-Book" w:eastAsiaTheme="minorHAnsi" w:hAnsi="FranklinGothicITCbyBT-Book" w:cs="FranklinGothicITCbyBT-Book"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0860901"/>
    <w:multiLevelType w:val="hybridMultilevel"/>
    <w:tmpl w:val="869EECC8"/>
    <w:lvl w:ilvl="0" w:tplc="727C8430">
      <w:start w:val="1"/>
      <w:numFmt w:val="bullet"/>
      <w:pStyle w:val="Schema-Resultsub"/>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C755D98"/>
    <w:multiLevelType w:val="hybridMultilevel"/>
    <w:tmpl w:val="568A5E34"/>
    <w:lvl w:ilvl="0" w:tplc="04130001">
      <w:start w:val="1"/>
      <w:numFmt w:val="bullet"/>
      <w:lvlText w:val=""/>
      <w:lvlJc w:val="left"/>
      <w:pPr>
        <w:ind w:left="390" w:hanging="360"/>
      </w:pPr>
      <w:rPr>
        <w:rFonts w:ascii="Symbol" w:hAnsi="Symbol" w:hint="default"/>
      </w:rPr>
    </w:lvl>
    <w:lvl w:ilvl="1" w:tplc="04130003" w:tentative="1">
      <w:start w:val="1"/>
      <w:numFmt w:val="bullet"/>
      <w:lvlText w:val="o"/>
      <w:lvlJc w:val="left"/>
      <w:pPr>
        <w:ind w:left="1110" w:hanging="360"/>
      </w:pPr>
      <w:rPr>
        <w:rFonts w:ascii="Courier New" w:hAnsi="Courier New" w:cs="Courier New" w:hint="default"/>
      </w:rPr>
    </w:lvl>
    <w:lvl w:ilvl="2" w:tplc="04130005" w:tentative="1">
      <w:start w:val="1"/>
      <w:numFmt w:val="bullet"/>
      <w:lvlText w:val=""/>
      <w:lvlJc w:val="left"/>
      <w:pPr>
        <w:ind w:left="1830" w:hanging="360"/>
      </w:pPr>
      <w:rPr>
        <w:rFonts w:ascii="Wingdings" w:hAnsi="Wingdings" w:hint="default"/>
      </w:rPr>
    </w:lvl>
    <w:lvl w:ilvl="3" w:tplc="04130001" w:tentative="1">
      <w:start w:val="1"/>
      <w:numFmt w:val="bullet"/>
      <w:lvlText w:val=""/>
      <w:lvlJc w:val="left"/>
      <w:pPr>
        <w:ind w:left="2550" w:hanging="360"/>
      </w:pPr>
      <w:rPr>
        <w:rFonts w:ascii="Symbol" w:hAnsi="Symbol" w:hint="default"/>
      </w:rPr>
    </w:lvl>
    <w:lvl w:ilvl="4" w:tplc="04130003" w:tentative="1">
      <w:start w:val="1"/>
      <w:numFmt w:val="bullet"/>
      <w:lvlText w:val="o"/>
      <w:lvlJc w:val="left"/>
      <w:pPr>
        <w:ind w:left="3270" w:hanging="360"/>
      </w:pPr>
      <w:rPr>
        <w:rFonts w:ascii="Courier New" w:hAnsi="Courier New" w:cs="Courier New" w:hint="default"/>
      </w:rPr>
    </w:lvl>
    <w:lvl w:ilvl="5" w:tplc="04130005" w:tentative="1">
      <w:start w:val="1"/>
      <w:numFmt w:val="bullet"/>
      <w:lvlText w:val=""/>
      <w:lvlJc w:val="left"/>
      <w:pPr>
        <w:ind w:left="3990" w:hanging="360"/>
      </w:pPr>
      <w:rPr>
        <w:rFonts w:ascii="Wingdings" w:hAnsi="Wingdings" w:hint="default"/>
      </w:rPr>
    </w:lvl>
    <w:lvl w:ilvl="6" w:tplc="04130001" w:tentative="1">
      <w:start w:val="1"/>
      <w:numFmt w:val="bullet"/>
      <w:lvlText w:val=""/>
      <w:lvlJc w:val="left"/>
      <w:pPr>
        <w:ind w:left="4710" w:hanging="360"/>
      </w:pPr>
      <w:rPr>
        <w:rFonts w:ascii="Symbol" w:hAnsi="Symbol" w:hint="default"/>
      </w:rPr>
    </w:lvl>
    <w:lvl w:ilvl="7" w:tplc="04130003" w:tentative="1">
      <w:start w:val="1"/>
      <w:numFmt w:val="bullet"/>
      <w:lvlText w:val="o"/>
      <w:lvlJc w:val="left"/>
      <w:pPr>
        <w:ind w:left="5430" w:hanging="360"/>
      </w:pPr>
      <w:rPr>
        <w:rFonts w:ascii="Courier New" w:hAnsi="Courier New" w:cs="Courier New" w:hint="default"/>
      </w:rPr>
    </w:lvl>
    <w:lvl w:ilvl="8" w:tplc="04130005" w:tentative="1">
      <w:start w:val="1"/>
      <w:numFmt w:val="bullet"/>
      <w:lvlText w:val=""/>
      <w:lvlJc w:val="left"/>
      <w:pPr>
        <w:ind w:left="6150" w:hanging="360"/>
      </w:pPr>
      <w:rPr>
        <w:rFonts w:ascii="Wingdings" w:hAnsi="Wingdings" w:hint="default"/>
      </w:rPr>
    </w:lvl>
  </w:abstractNum>
  <w:abstractNum w:abstractNumId="13" w15:restartNumberingAfterBreak="0">
    <w:nsid w:val="50285CB0"/>
    <w:multiLevelType w:val="hybridMultilevel"/>
    <w:tmpl w:val="47CE3086"/>
    <w:lvl w:ilvl="0" w:tplc="04130001">
      <w:start w:val="1"/>
      <w:numFmt w:val="bullet"/>
      <w:lvlText w:val=""/>
      <w:lvlJc w:val="left"/>
      <w:pPr>
        <w:ind w:left="750" w:hanging="360"/>
      </w:pPr>
      <w:rPr>
        <w:rFonts w:ascii="Symbol" w:hAnsi="Symbol" w:hint="default"/>
      </w:rPr>
    </w:lvl>
    <w:lvl w:ilvl="1" w:tplc="04130003" w:tentative="1">
      <w:start w:val="1"/>
      <w:numFmt w:val="bullet"/>
      <w:lvlText w:val="o"/>
      <w:lvlJc w:val="left"/>
      <w:pPr>
        <w:ind w:left="1470" w:hanging="360"/>
      </w:pPr>
      <w:rPr>
        <w:rFonts w:ascii="Courier New" w:hAnsi="Courier New" w:cs="Courier New" w:hint="default"/>
      </w:rPr>
    </w:lvl>
    <w:lvl w:ilvl="2" w:tplc="04130005" w:tentative="1">
      <w:start w:val="1"/>
      <w:numFmt w:val="bullet"/>
      <w:lvlText w:val=""/>
      <w:lvlJc w:val="left"/>
      <w:pPr>
        <w:ind w:left="2190" w:hanging="360"/>
      </w:pPr>
      <w:rPr>
        <w:rFonts w:ascii="Wingdings" w:hAnsi="Wingdings" w:hint="default"/>
      </w:rPr>
    </w:lvl>
    <w:lvl w:ilvl="3" w:tplc="04130001" w:tentative="1">
      <w:start w:val="1"/>
      <w:numFmt w:val="bullet"/>
      <w:lvlText w:val=""/>
      <w:lvlJc w:val="left"/>
      <w:pPr>
        <w:ind w:left="2910" w:hanging="360"/>
      </w:pPr>
      <w:rPr>
        <w:rFonts w:ascii="Symbol" w:hAnsi="Symbol" w:hint="default"/>
      </w:rPr>
    </w:lvl>
    <w:lvl w:ilvl="4" w:tplc="04130003" w:tentative="1">
      <w:start w:val="1"/>
      <w:numFmt w:val="bullet"/>
      <w:lvlText w:val="o"/>
      <w:lvlJc w:val="left"/>
      <w:pPr>
        <w:ind w:left="3630" w:hanging="360"/>
      </w:pPr>
      <w:rPr>
        <w:rFonts w:ascii="Courier New" w:hAnsi="Courier New" w:cs="Courier New" w:hint="default"/>
      </w:rPr>
    </w:lvl>
    <w:lvl w:ilvl="5" w:tplc="04130005" w:tentative="1">
      <w:start w:val="1"/>
      <w:numFmt w:val="bullet"/>
      <w:lvlText w:val=""/>
      <w:lvlJc w:val="left"/>
      <w:pPr>
        <w:ind w:left="4350" w:hanging="360"/>
      </w:pPr>
      <w:rPr>
        <w:rFonts w:ascii="Wingdings" w:hAnsi="Wingdings" w:hint="default"/>
      </w:rPr>
    </w:lvl>
    <w:lvl w:ilvl="6" w:tplc="04130001" w:tentative="1">
      <w:start w:val="1"/>
      <w:numFmt w:val="bullet"/>
      <w:lvlText w:val=""/>
      <w:lvlJc w:val="left"/>
      <w:pPr>
        <w:ind w:left="5070" w:hanging="360"/>
      </w:pPr>
      <w:rPr>
        <w:rFonts w:ascii="Symbol" w:hAnsi="Symbol" w:hint="default"/>
      </w:rPr>
    </w:lvl>
    <w:lvl w:ilvl="7" w:tplc="04130003" w:tentative="1">
      <w:start w:val="1"/>
      <w:numFmt w:val="bullet"/>
      <w:lvlText w:val="o"/>
      <w:lvlJc w:val="left"/>
      <w:pPr>
        <w:ind w:left="5790" w:hanging="360"/>
      </w:pPr>
      <w:rPr>
        <w:rFonts w:ascii="Courier New" w:hAnsi="Courier New" w:cs="Courier New" w:hint="default"/>
      </w:rPr>
    </w:lvl>
    <w:lvl w:ilvl="8" w:tplc="04130005" w:tentative="1">
      <w:start w:val="1"/>
      <w:numFmt w:val="bullet"/>
      <w:lvlText w:val=""/>
      <w:lvlJc w:val="left"/>
      <w:pPr>
        <w:ind w:left="6510" w:hanging="360"/>
      </w:pPr>
      <w:rPr>
        <w:rFonts w:ascii="Wingdings" w:hAnsi="Wingdings" w:hint="default"/>
      </w:rPr>
    </w:lvl>
  </w:abstractNum>
  <w:abstractNum w:abstractNumId="14" w15:restartNumberingAfterBreak="0">
    <w:nsid w:val="59A838DB"/>
    <w:multiLevelType w:val="hybridMultilevel"/>
    <w:tmpl w:val="CECE423A"/>
    <w:lvl w:ilvl="0" w:tplc="F5EA92F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C747A40"/>
    <w:multiLevelType w:val="hybridMultilevel"/>
    <w:tmpl w:val="337EE1AA"/>
    <w:lvl w:ilvl="0" w:tplc="D98459CA">
      <w:start w:val="3"/>
      <w:numFmt w:val="bullet"/>
      <w:lvlText w:val="-"/>
      <w:lvlJc w:val="left"/>
      <w:pPr>
        <w:ind w:left="720" w:hanging="360"/>
      </w:pPr>
      <w:rPr>
        <w:rFonts w:ascii="Palatino Linotype" w:eastAsia="SimSun" w:hAnsi="Palatino Linotype"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EE3013"/>
    <w:multiLevelType w:val="hybridMultilevel"/>
    <w:tmpl w:val="4586B5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6DC86E6D"/>
    <w:multiLevelType w:val="hybridMultilevel"/>
    <w:tmpl w:val="C68A18F2"/>
    <w:lvl w:ilvl="0" w:tplc="9CA4BD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793787"/>
    <w:multiLevelType w:val="hybridMultilevel"/>
    <w:tmpl w:val="412ED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82A43CA"/>
    <w:multiLevelType w:val="hybridMultilevel"/>
    <w:tmpl w:val="E0166C0E"/>
    <w:lvl w:ilvl="0" w:tplc="B3007F8C">
      <w:start w:val="1"/>
      <w:numFmt w:val="bullet"/>
      <w:lvlText w:val=""/>
      <w:lvlJc w:val="left"/>
      <w:pPr>
        <w:ind w:left="390" w:hanging="360"/>
      </w:pPr>
      <w:rPr>
        <w:rFonts w:ascii="Symbol" w:hAnsi="Symbol" w:hint="default"/>
      </w:rPr>
    </w:lvl>
    <w:lvl w:ilvl="1" w:tplc="04130003" w:tentative="1">
      <w:start w:val="1"/>
      <w:numFmt w:val="bullet"/>
      <w:lvlText w:val="o"/>
      <w:lvlJc w:val="left"/>
      <w:pPr>
        <w:ind w:left="1110" w:hanging="360"/>
      </w:pPr>
      <w:rPr>
        <w:rFonts w:ascii="Courier New" w:hAnsi="Courier New" w:cs="Courier New" w:hint="default"/>
      </w:rPr>
    </w:lvl>
    <w:lvl w:ilvl="2" w:tplc="04130005" w:tentative="1">
      <w:start w:val="1"/>
      <w:numFmt w:val="bullet"/>
      <w:lvlText w:val=""/>
      <w:lvlJc w:val="left"/>
      <w:pPr>
        <w:ind w:left="1830" w:hanging="360"/>
      </w:pPr>
      <w:rPr>
        <w:rFonts w:ascii="Wingdings" w:hAnsi="Wingdings" w:hint="default"/>
      </w:rPr>
    </w:lvl>
    <w:lvl w:ilvl="3" w:tplc="04130001" w:tentative="1">
      <w:start w:val="1"/>
      <w:numFmt w:val="bullet"/>
      <w:lvlText w:val=""/>
      <w:lvlJc w:val="left"/>
      <w:pPr>
        <w:ind w:left="2550" w:hanging="360"/>
      </w:pPr>
      <w:rPr>
        <w:rFonts w:ascii="Symbol" w:hAnsi="Symbol" w:hint="default"/>
      </w:rPr>
    </w:lvl>
    <w:lvl w:ilvl="4" w:tplc="04130003" w:tentative="1">
      <w:start w:val="1"/>
      <w:numFmt w:val="bullet"/>
      <w:lvlText w:val="o"/>
      <w:lvlJc w:val="left"/>
      <w:pPr>
        <w:ind w:left="3270" w:hanging="360"/>
      </w:pPr>
      <w:rPr>
        <w:rFonts w:ascii="Courier New" w:hAnsi="Courier New" w:cs="Courier New" w:hint="default"/>
      </w:rPr>
    </w:lvl>
    <w:lvl w:ilvl="5" w:tplc="04130005" w:tentative="1">
      <w:start w:val="1"/>
      <w:numFmt w:val="bullet"/>
      <w:lvlText w:val=""/>
      <w:lvlJc w:val="left"/>
      <w:pPr>
        <w:ind w:left="3990" w:hanging="360"/>
      </w:pPr>
      <w:rPr>
        <w:rFonts w:ascii="Wingdings" w:hAnsi="Wingdings" w:hint="default"/>
      </w:rPr>
    </w:lvl>
    <w:lvl w:ilvl="6" w:tplc="04130001" w:tentative="1">
      <w:start w:val="1"/>
      <w:numFmt w:val="bullet"/>
      <w:lvlText w:val=""/>
      <w:lvlJc w:val="left"/>
      <w:pPr>
        <w:ind w:left="4710" w:hanging="360"/>
      </w:pPr>
      <w:rPr>
        <w:rFonts w:ascii="Symbol" w:hAnsi="Symbol" w:hint="default"/>
      </w:rPr>
    </w:lvl>
    <w:lvl w:ilvl="7" w:tplc="04130003" w:tentative="1">
      <w:start w:val="1"/>
      <w:numFmt w:val="bullet"/>
      <w:lvlText w:val="o"/>
      <w:lvlJc w:val="left"/>
      <w:pPr>
        <w:ind w:left="5430" w:hanging="360"/>
      </w:pPr>
      <w:rPr>
        <w:rFonts w:ascii="Courier New" w:hAnsi="Courier New" w:cs="Courier New" w:hint="default"/>
      </w:rPr>
    </w:lvl>
    <w:lvl w:ilvl="8" w:tplc="04130005" w:tentative="1">
      <w:start w:val="1"/>
      <w:numFmt w:val="bullet"/>
      <w:lvlText w:val=""/>
      <w:lvlJc w:val="left"/>
      <w:pPr>
        <w:ind w:left="6150" w:hanging="360"/>
      </w:pPr>
      <w:rPr>
        <w:rFonts w:ascii="Wingdings" w:hAnsi="Wingdings" w:hint="default"/>
      </w:rPr>
    </w:lvl>
  </w:abstractNum>
  <w:abstractNum w:abstractNumId="20" w15:restartNumberingAfterBreak="0">
    <w:nsid w:val="7B2D4021"/>
    <w:multiLevelType w:val="hybridMultilevel"/>
    <w:tmpl w:val="FABC8930"/>
    <w:lvl w:ilvl="0" w:tplc="49B29F6E">
      <w:start w:val="6"/>
      <w:numFmt w:val="bullet"/>
      <w:lvlText w:val="-"/>
      <w:lvlJc w:val="left"/>
      <w:pPr>
        <w:ind w:left="720" w:hanging="360"/>
      </w:pPr>
      <w:rPr>
        <w:rFonts w:ascii="FranklinGothicITCbyBT-Book" w:eastAsiaTheme="minorHAnsi" w:hAnsi="FranklinGothicITCbyBT-Book" w:cs="FranklinGothicITCbyBT-Book" w:hint="default"/>
      </w:rPr>
    </w:lvl>
    <w:lvl w:ilvl="1" w:tplc="49B29F6E">
      <w:start w:val="6"/>
      <w:numFmt w:val="bullet"/>
      <w:lvlText w:val="-"/>
      <w:lvlJc w:val="left"/>
      <w:pPr>
        <w:ind w:left="1440" w:hanging="360"/>
      </w:pPr>
      <w:rPr>
        <w:rFonts w:ascii="FranklinGothicITCbyBT-Book" w:eastAsiaTheme="minorHAnsi" w:hAnsi="FranklinGothicITCbyBT-Book" w:cs="FranklinGothicITCbyBT-Book"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2"/>
  </w:num>
  <w:num w:numId="4">
    <w:abstractNumId w:val="10"/>
  </w:num>
  <w:num w:numId="5">
    <w:abstractNumId w:val="18"/>
  </w:num>
  <w:num w:numId="6">
    <w:abstractNumId w:val="11"/>
  </w:num>
  <w:num w:numId="7">
    <w:abstractNumId w:val="20"/>
  </w:num>
  <w:num w:numId="8">
    <w:abstractNumId w:val="14"/>
  </w:num>
  <w:num w:numId="9">
    <w:abstractNumId w:val="0"/>
  </w:num>
  <w:num w:numId="10">
    <w:abstractNumId w:val="8"/>
  </w:num>
  <w:num w:numId="11">
    <w:abstractNumId w:val="15"/>
  </w:num>
  <w:num w:numId="12">
    <w:abstractNumId w:val="7"/>
  </w:num>
  <w:num w:numId="13">
    <w:abstractNumId w:val="17"/>
  </w:num>
  <w:num w:numId="14">
    <w:abstractNumId w:val="5"/>
  </w:num>
  <w:num w:numId="15">
    <w:abstractNumId w:val="1"/>
  </w:num>
  <w:num w:numId="16">
    <w:abstractNumId w:val="9"/>
  </w:num>
  <w:num w:numId="17">
    <w:abstractNumId w:val="16"/>
  </w:num>
  <w:num w:numId="18">
    <w:abstractNumId w:val="12"/>
  </w:num>
  <w:num w:numId="19">
    <w:abstractNumId w:val="19"/>
  </w:num>
  <w:num w:numId="20">
    <w:abstractNumId w:val="6"/>
  </w:num>
  <w:num w:numId="21">
    <w:abstractNumId w:val="13"/>
  </w:num>
  <w:num w:numId="22">
    <w:abstractNumId w:val="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ABB"/>
    <w:rsid w:val="00000960"/>
    <w:rsid w:val="00004B5D"/>
    <w:rsid w:val="000117C8"/>
    <w:rsid w:val="00013C28"/>
    <w:rsid w:val="00021152"/>
    <w:rsid w:val="000262FA"/>
    <w:rsid w:val="000402AA"/>
    <w:rsid w:val="0005702B"/>
    <w:rsid w:val="000637CB"/>
    <w:rsid w:val="00064A83"/>
    <w:rsid w:val="00071D52"/>
    <w:rsid w:val="000774AB"/>
    <w:rsid w:val="000836C7"/>
    <w:rsid w:val="00091D40"/>
    <w:rsid w:val="00094AE1"/>
    <w:rsid w:val="000A434C"/>
    <w:rsid w:val="000A7F97"/>
    <w:rsid w:val="000D62A1"/>
    <w:rsid w:val="000E0E2E"/>
    <w:rsid w:val="000E3DA0"/>
    <w:rsid w:val="000F0266"/>
    <w:rsid w:val="00110624"/>
    <w:rsid w:val="001176A0"/>
    <w:rsid w:val="001237B1"/>
    <w:rsid w:val="0012669A"/>
    <w:rsid w:val="00130634"/>
    <w:rsid w:val="00130DE6"/>
    <w:rsid w:val="0013249D"/>
    <w:rsid w:val="00137FE0"/>
    <w:rsid w:val="00140E9C"/>
    <w:rsid w:val="001423EA"/>
    <w:rsid w:val="00146721"/>
    <w:rsid w:val="00146BC1"/>
    <w:rsid w:val="00152F6B"/>
    <w:rsid w:val="001629C8"/>
    <w:rsid w:val="001665C4"/>
    <w:rsid w:val="0018765B"/>
    <w:rsid w:val="001876A8"/>
    <w:rsid w:val="00191527"/>
    <w:rsid w:val="001A710B"/>
    <w:rsid w:val="001B59EE"/>
    <w:rsid w:val="001B5CD3"/>
    <w:rsid w:val="001C06D2"/>
    <w:rsid w:val="001F7A3B"/>
    <w:rsid w:val="0020145C"/>
    <w:rsid w:val="0020164B"/>
    <w:rsid w:val="00204E82"/>
    <w:rsid w:val="0021591B"/>
    <w:rsid w:val="00216AA1"/>
    <w:rsid w:val="00221CD7"/>
    <w:rsid w:val="002474E3"/>
    <w:rsid w:val="00253FFB"/>
    <w:rsid w:val="002676CE"/>
    <w:rsid w:val="00267716"/>
    <w:rsid w:val="00272697"/>
    <w:rsid w:val="0027337E"/>
    <w:rsid w:val="00283FFC"/>
    <w:rsid w:val="0028781D"/>
    <w:rsid w:val="00290726"/>
    <w:rsid w:val="0029141E"/>
    <w:rsid w:val="002977B2"/>
    <w:rsid w:val="002D451E"/>
    <w:rsid w:val="002F045D"/>
    <w:rsid w:val="002F5262"/>
    <w:rsid w:val="00300FC7"/>
    <w:rsid w:val="0030165E"/>
    <w:rsid w:val="0032532F"/>
    <w:rsid w:val="003328AB"/>
    <w:rsid w:val="00344CB7"/>
    <w:rsid w:val="003609E7"/>
    <w:rsid w:val="00366743"/>
    <w:rsid w:val="003704DF"/>
    <w:rsid w:val="0037104B"/>
    <w:rsid w:val="003743AB"/>
    <w:rsid w:val="00381F8D"/>
    <w:rsid w:val="00385404"/>
    <w:rsid w:val="00386984"/>
    <w:rsid w:val="003937A0"/>
    <w:rsid w:val="00396A28"/>
    <w:rsid w:val="003A3E9C"/>
    <w:rsid w:val="003A6892"/>
    <w:rsid w:val="003D1E2E"/>
    <w:rsid w:val="003E2B58"/>
    <w:rsid w:val="003E4902"/>
    <w:rsid w:val="003E4A23"/>
    <w:rsid w:val="003E6635"/>
    <w:rsid w:val="003E711E"/>
    <w:rsid w:val="003F29A8"/>
    <w:rsid w:val="004034DB"/>
    <w:rsid w:val="00404489"/>
    <w:rsid w:val="00414D7B"/>
    <w:rsid w:val="00420E4F"/>
    <w:rsid w:val="00422A2C"/>
    <w:rsid w:val="00427B29"/>
    <w:rsid w:val="00427E21"/>
    <w:rsid w:val="00435540"/>
    <w:rsid w:val="00441675"/>
    <w:rsid w:val="00454C7B"/>
    <w:rsid w:val="0048717C"/>
    <w:rsid w:val="00493ABB"/>
    <w:rsid w:val="00496781"/>
    <w:rsid w:val="004A0D77"/>
    <w:rsid w:val="004A4110"/>
    <w:rsid w:val="004B76FD"/>
    <w:rsid w:val="004D456B"/>
    <w:rsid w:val="004E49B6"/>
    <w:rsid w:val="004E5A4F"/>
    <w:rsid w:val="005070C6"/>
    <w:rsid w:val="00515800"/>
    <w:rsid w:val="0052086C"/>
    <w:rsid w:val="00521131"/>
    <w:rsid w:val="0052231D"/>
    <w:rsid w:val="00526E57"/>
    <w:rsid w:val="00531AFE"/>
    <w:rsid w:val="00535E54"/>
    <w:rsid w:val="00546612"/>
    <w:rsid w:val="00560642"/>
    <w:rsid w:val="00586C1E"/>
    <w:rsid w:val="00592CA6"/>
    <w:rsid w:val="00595095"/>
    <w:rsid w:val="005974FB"/>
    <w:rsid w:val="005A4DF7"/>
    <w:rsid w:val="005B69DE"/>
    <w:rsid w:val="005D46DC"/>
    <w:rsid w:val="005D7905"/>
    <w:rsid w:val="005E2971"/>
    <w:rsid w:val="005F79E0"/>
    <w:rsid w:val="006025F7"/>
    <w:rsid w:val="00603BBC"/>
    <w:rsid w:val="006045AF"/>
    <w:rsid w:val="00606289"/>
    <w:rsid w:val="00633303"/>
    <w:rsid w:val="006377E2"/>
    <w:rsid w:val="0064430E"/>
    <w:rsid w:val="00655CD3"/>
    <w:rsid w:val="0066304B"/>
    <w:rsid w:val="00671B50"/>
    <w:rsid w:val="00673E94"/>
    <w:rsid w:val="006744E9"/>
    <w:rsid w:val="00680493"/>
    <w:rsid w:val="006970EE"/>
    <w:rsid w:val="006A3652"/>
    <w:rsid w:val="006A3C2D"/>
    <w:rsid w:val="006A50F5"/>
    <w:rsid w:val="006A5C56"/>
    <w:rsid w:val="006B3E0B"/>
    <w:rsid w:val="006B438D"/>
    <w:rsid w:val="006B466D"/>
    <w:rsid w:val="006D716B"/>
    <w:rsid w:val="006E4E91"/>
    <w:rsid w:val="006F5F88"/>
    <w:rsid w:val="006F7601"/>
    <w:rsid w:val="00707C55"/>
    <w:rsid w:val="00723321"/>
    <w:rsid w:val="00724D2A"/>
    <w:rsid w:val="00734F19"/>
    <w:rsid w:val="00750008"/>
    <w:rsid w:val="007726A1"/>
    <w:rsid w:val="0078491F"/>
    <w:rsid w:val="00797991"/>
    <w:rsid w:val="007A6F0A"/>
    <w:rsid w:val="007C4FDD"/>
    <w:rsid w:val="007D4953"/>
    <w:rsid w:val="007E07E7"/>
    <w:rsid w:val="007F233A"/>
    <w:rsid w:val="0080005D"/>
    <w:rsid w:val="00812B93"/>
    <w:rsid w:val="0081552E"/>
    <w:rsid w:val="00836437"/>
    <w:rsid w:val="0084430A"/>
    <w:rsid w:val="0084683F"/>
    <w:rsid w:val="00861830"/>
    <w:rsid w:val="008668FC"/>
    <w:rsid w:val="00876341"/>
    <w:rsid w:val="00893111"/>
    <w:rsid w:val="008C2AA9"/>
    <w:rsid w:val="008C7EE4"/>
    <w:rsid w:val="008E19E8"/>
    <w:rsid w:val="008E693A"/>
    <w:rsid w:val="008F6D5F"/>
    <w:rsid w:val="009006A8"/>
    <w:rsid w:val="009071B6"/>
    <w:rsid w:val="0092279A"/>
    <w:rsid w:val="0093452F"/>
    <w:rsid w:val="0093791D"/>
    <w:rsid w:val="00944791"/>
    <w:rsid w:val="00955F13"/>
    <w:rsid w:val="00962E69"/>
    <w:rsid w:val="00970497"/>
    <w:rsid w:val="00970AF2"/>
    <w:rsid w:val="009745B9"/>
    <w:rsid w:val="00985A93"/>
    <w:rsid w:val="009A51FD"/>
    <w:rsid w:val="009B3C9D"/>
    <w:rsid w:val="009B429D"/>
    <w:rsid w:val="009B7C12"/>
    <w:rsid w:val="009C0A92"/>
    <w:rsid w:val="009C56C7"/>
    <w:rsid w:val="009D632A"/>
    <w:rsid w:val="009E01B5"/>
    <w:rsid w:val="009E2FCC"/>
    <w:rsid w:val="009F4DCF"/>
    <w:rsid w:val="00A21B37"/>
    <w:rsid w:val="00A23ECB"/>
    <w:rsid w:val="00A254FD"/>
    <w:rsid w:val="00A44CAF"/>
    <w:rsid w:val="00A50B2E"/>
    <w:rsid w:val="00A5524F"/>
    <w:rsid w:val="00A61E1B"/>
    <w:rsid w:val="00A773F7"/>
    <w:rsid w:val="00A879CE"/>
    <w:rsid w:val="00AA28AD"/>
    <w:rsid w:val="00AA3CFA"/>
    <w:rsid w:val="00AA3D94"/>
    <w:rsid w:val="00AA79AF"/>
    <w:rsid w:val="00AB26B0"/>
    <w:rsid w:val="00AB693C"/>
    <w:rsid w:val="00AC07E1"/>
    <w:rsid w:val="00AC706F"/>
    <w:rsid w:val="00AC759A"/>
    <w:rsid w:val="00AD19EB"/>
    <w:rsid w:val="00AD2DBC"/>
    <w:rsid w:val="00AD41B9"/>
    <w:rsid w:val="00AE24F1"/>
    <w:rsid w:val="00AF0A94"/>
    <w:rsid w:val="00AF5C9D"/>
    <w:rsid w:val="00B02CEF"/>
    <w:rsid w:val="00B066C9"/>
    <w:rsid w:val="00B115A6"/>
    <w:rsid w:val="00B12951"/>
    <w:rsid w:val="00B17672"/>
    <w:rsid w:val="00B20A52"/>
    <w:rsid w:val="00B23CBA"/>
    <w:rsid w:val="00B45937"/>
    <w:rsid w:val="00B50BA7"/>
    <w:rsid w:val="00B53BBE"/>
    <w:rsid w:val="00B56778"/>
    <w:rsid w:val="00B6296A"/>
    <w:rsid w:val="00B763E9"/>
    <w:rsid w:val="00B963E3"/>
    <w:rsid w:val="00BB1B0E"/>
    <w:rsid w:val="00BB7F7A"/>
    <w:rsid w:val="00BC577A"/>
    <w:rsid w:val="00BF6E5D"/>
    <w:rsid w:val="00C2587E"/>
    <w:rsid w:val="00C31D07"/>
    <w:rsid w:val="00C322F8"/>
    <w:rsid w:val="00C37E7A"/>
    <w:rsid w:val="00C408EB"/>
    <w:rsid w:val="00C45D47"/>
    <w:rsid w:val="00C561E5"/>
    <w:rsid w:val="00C65807"/>
    <w:rsid w:val="00C77DA1"/>
    <w:rsid w:val="00C9567C"/>
    <w:rsid w:val="00C9614A"/>
    <w:rsid w:val="00CB21AA"/>
    <w:rsid w:val="00CB6834"/>
    <w:rsid w:val="00CD4E96"/>
    <w:rsid w:val="00CD6A6C"/>
    <w:rsid w:val="00CF18A8"/>
    <w:rsid w:val="00CF249E"/>
    <w:rsid w:val="00CF5745"/>
    <w:rsid w:val="00D05191"/>
    <w:rsid w:val="00D076F5"/>
    <w:rsid w:val="00D15E3E"/>
    <w:rsid w:val="00D21F0A"/>
    <w:rsid w:val="00D26281"/>
    <w:rsid w:val="00D32CFF"/>
    <w:rsid w:val="00D40F9A"/>
    <w:rsid w:val="00D4350D"/>
    <w:rsid w:val="00D74D13"/>
    <w:rsid w:val="00D83A7F"/>
    <w:rsid w:val="00D84BC0"/>
    <w:rsid w:val="00D87657"/>
    <w:rsid w:val="00D877B3"/>
    <w:rsid w:val="00D932A2"/>
    <w:rsid w:val="00D955D7"/>
    <w:rsid w:val="00DB372A"/>
    <w:rsid w:val="00DD6C34"/>
    <w:rsid w:val="00DE3CCD"/>
    <w:rsid w:val="00DE3E10"/>
    <w:rsid w:val="00DE7B7B"/>
    <w:rsid w:val="00DE7E57"/>
    <w:rsid w:val="00DF7412"/>
    <w:rsid w:val="00E22581"/>
    <w:rsid w:val="00E31F13"/>
    <w:rsid w:val="00E3269A"/>
    <w:rsid w:val="00E47531"/>
    <w:rsid w:val="00E50C85"/>
    <w:rsid w:val="00E602A4"/>
    <w:rsid w:val="00E611D8"/>
    <w:rsid w:val="00E620D6"/>
    <w:rsid w:val="00E6444F"/>
    <w:rsid w:val="00E67CB4"/>
    <w:rsid w:val="00E709BD"/>
    <w:rsid w:val="00E763F7"/>
    <w:rsid w:val="00E82995"/>
    <w:rsid w:val="00EB15F2"/>
    <w:rsid w:val="00EB3532"/>
    <w:rsid w:val="00ED2D95"/>
    <w:rsid w:val="00ED6303"/>
    <w:rsid w:val="00EE4018"/>
    <w:rsid w:val="00F016BE"/>
    <w:rsid w:val="00F01A23"/>
    <w:rsid w:val="00F37C3F"/>
    <w:rsid w:val="00F401BF"/>
    <w:rsid w:val="00F47969"/>
    <w:rsid w:val="00F60585"/>
    <w:rsid w:val="00F60DD6"/>
    <w:rsid w:val="00F67C24"/>
    <w:rsid w:val="00F7319E"/>
    <w:rsid w:val="00F7562C"/>
    <w:rsid w:val="00F76D03"/>
    <w:rsid w:val="00F819A6"/>
    <w:rsid w:val="00F85FD6"/>
    <w:rsid w:val="00F9543F"/>
    <w:rsid w:val="00F96218"/>
    <w:rsid w:val="00F96A3E"/>
    <w:rsid w:val="00FA075A"/>
    <w:rsid w:val="00FA0BAB"/>
    <w:rsid w:val="00FA5D20"/>
    <w:rsid w:val="00FB2F76"/>
    <w:rsid w:val="00FB3862"/>
    <w:rsid w:val="00FB7393"/>
    <w:rsid w:val="00FC718D"/>
    <w:rsid w:val="00FD6C86"/>
    <w:rsid w:val="00FE1690"/>
    <w:rsid w:val="00FE45A4"/>
    <w:rsid w:val="00FE622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3397D1"/>
  <w15:docId w15:val="{3AF312BD-F46E-43D7-AFF6-85615AE53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6A8"/>
    <w:pPr>
      <w:spacing w:after="130"/>
    </w:pPr>
    <w:rPr>
      <w:sz w:val="16"/>
      <w:lang w:val="en-GB"/>
    </w:rPr>
  </w:style>
  <w:style w:type="paragraph" w:styleId="Heading1">
    <w:name w:val="heading 1"/>
    <w:basedOn w:val="Normal"/>
    <w:next w:val="Normal"/>
    <w:link w:val="Heading1Char"/>
    <w:uiPriority w:val="9"/>
    <w:qFormat/>
    <w:rsid w:val="00836437"/>
    <w:pPr>
      <w:keepNext/>
      <w:keepLines/>
      <w:spacing w:before="240" w:after="0"/>
      <w:outlineLvl w:val="0"/>
    </w:pPr>
    <w:rPr>
      <w:rFonts w:asciiTheme="majorHAnsi" w:eastAsiaTheme="majorEastAsia" w:hAnsiTheme="majorHAnsi" w:cstheme="majorBidi"/>
      <w:b/>
      <w:color w:val="9C5252" w:themeColor="accent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9B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E49B6"/>
  </w:style>
  <w:style w:type="paragraph" w:styleId="Footer">
    <w:name w:val="footer"/>
    <w:basedOn w:val="Normal"/>
    <w:link w:val="FooterChar"/>
    <w:uiPriority w:val="99"/>
    <w:unhideWhenUsed/>
    <w:rsid w:val="004E49B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E49B6"/>
  </w:style>
  <w:style w:type="table" w:styleId="TableGrid">
    <w:name w:val="Table Grid"/>
    <w:basedOn w:val="TableNormal"/>
    <w:rsid w:val="004E4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ultsub">
    <w:name w:val="Result (sub)"/>
    <w:basedOn w:val="Normal"/>
    <w:qFormat/>
    <w:rsid w:val="0066304B"/>
    <w:pPr>
      <w:autoSpaceDE w:val="0"/>
      <w:autoSpaceDN w:val="0"/>
      <w:adjustRightInd w:val="0"/>
      <w:spacing w:after="0" w:line="240" w:lineRule="auto"/>
    </w:pPr>
    <w:rPr>
      <w:rFonts w:ascii="Calibri" w:hAnsi="Calibri" w:cs="FranklinGothicITCbyBT-Book"/>
      <w:color w:val="6076B4" w:themeColor="accent1"/>
      <w:sz w:val="20"/>
      <w:szCs w:val="20"/>
      <w:lang w:eastAsia="zh-CN"/>
    </w:rPr>
  </w:style>
  <w:style w:type="paragraph" w:customStyle="1" w:styleId="Opsomming">
    <w:name w:val="Opsomming"/>
    <w:basedOn w:val="Normal"/>
    <w:autoRedefine/>
    <w:qFormat/>
    <w:rsid w:val="00366743"/>
    <w:pPr>
      <w:tabs>
        <w:tab w:val="left" w:pos="1134"/>
        <w:tab w:val="left" w:pos="2268"/>
        <w:tab w:val="left" w:pos="3402"/>
        <w:tab w:val="left" w:pos="4536"/>
        <w:tab w:val="left" w:pos="5670"/>
        <w:tab w:val="left" w:pos="6804"/>
        <w:tab w:val="right" w:pos="7938"/>
      </w:tabs>
      <w:spacing w:after="80" w:line="240" w:lineRule="auto"/>
      <w:ind w:left="41" w:hanging="11"/>
    </w:pPr>
    <w:rPr>
      <w:rFonts w:ascii="Calibri" w:eastAsiaTheme="minorEastAsia" w:hAnsi="Calibri" w:cs="FranklinGothicITCbyBT-Book"/>
      <w:sz w:val="20"/>
      <w:szCs w:val="20"/>
    </w:rPr>
  </w:style>
  <w:style w:type="paragraph" w:customStyle="1" w:styleId="Resultsubsub">
    <w:name w:val="Result (subsub)"/>
    <w:basedOn w:val="Normal"/>
    <w:qFormat/>
    <w:rsid w:val="00F01A23"/>
    <w:pPr>
      <w:spacing w:after="0" w:line="240" w:lineRule="auto"/>
    </w:pPr>
    <w:rPr>
      <w:rFonts w:ascii="Calibri" w:hAnsi="Calibri" w:cs="FranklinGothicITCbyBT-Book"/>
      <w:i/>
      <w:color w:val="9C5252" w:themeColor="accent2"/>
      <w:szCs w:val="18"/>
    </w:rPr>
  </w:style>
  <w:style w:type="paragraph" w:customStyle="1" w:styleId="Resultmain">
    <w:name w:val="Result (main)"/>
    <w:basedOn w:val="Normal"/>
    <w:autoRedefine/>
    <w:qFormat/>
    <w:rsid w:val="00DE7E57"/>
    <w:pPr>
      <w:autoSpaceDE w:val="0"/>
      <w:autoSpaceDN w:val="0"/>
      <w:adjustRightInd w:val="0"/>
      <w:spacing w:after="0" w:line="240" w:lineRule="auto"/>
    </w:pPr>
    <w:rPr>
      <w:rFonts w:ascii="Calibri" w:hAnsi="Calibri"/>
      <w:b/>
      <w:sz w:val="20"/>
      <w:szCs w:val="20"/>
    </w:rPr>
  </w:style>
  <w:style w:type="paragraph" w:customStyle="1" w:styleId="Niveau">
    <w:name w:val="Niveau"/>
    <w:basedOn w:val="Normal"/>
    <w:autoRedefine/>
    <w:qFormat/>
    <w:rsid w:val="00AC706F"/>
    <w:pPr>
      <w:spacing w:after="0" w:line="240" w:lineRule="auto"/>
    </w:pPr>
    <w:rPr>
      <w:rFonts w:ascii="Calibri" w:hAnsi="Calibri"/>
      <w:caps/>
      <w:color w:val="6076B4" w:themeColor="accent1"/>
      <w:sz w:val="20"/>
      <w:szCs w:val="20"/>
      <w:lang w:eastAsia="zh-CN"/>
    </w:rPr>
  </w:style>
  <w:style w:type="paragraph" w:customStyle="1" w:styleId="Kolomtitel">
    <w:name w:val="Kolomtitel"/>
    <w:basedOn w:val="Niveau"/>
    <w:autoRedefine/>
    <w:qFormat/>
    <w:rsid w:val="00FA5D20"/>
    <w:pPr>
      <w:ind w:left="28"/>
    </w:pPr>
    <w:rPr>
      <w:b/>
      <w:color w:val="9C5252" w:themeColor="accent2"/>
      <w:sz w:val="11"/>
    </w:rPr>
  </w:style>
  <w:style w:type="paragraph" w:customStyle="1" w:styleId="Broodtekst">
    <w:name w:val="Broodtekst"/>
    <w:basedOn w:val="Normal"/>
    <w:qFormat/>
    <w:rsid w:val="00146721"/>
    <w:pPr>
      <w:spacing w:line="240" w:lineRule="auto"/>
    </w:pPr>
    <w:rPr>
      <w:color w:val="9C5252" w:themeColor="accent2"/>
    </w:rPr>
  </w:style>
  <w:style w:type="paragraph" w:customStyle="1" w:styleId="Notities">
    <w:name w:val="Notities"/>
    <w:basedOn w:val="Normal"/>
    <w:autoRedefine/>
    <w:qFormat/>
    <w:rsid w:val="00A50B2E"/>
    <w:pPr>
      <w:spacing w:after="0" w:line="240" w:lineRule="auto"/>
    </w:pPr>
    <w:rPr>
      <w:rFonts w:ascii="Calibri" w:hAnsi="Calibri" w:cs="FranklinGothicITCbyBT-Book"/>
      <w:color w:val="B16214" w:themeColor="accent3" w:themeShade="BF"/>
      <w:sz w:val="20"/>
      <w:szCs w:val="20"/>
    </w:rPr>
  </w:style>
  <w:style w:type="paragraph" w:customStyle="1" w:styleId="Tussenniveaus">
    <w:name w:val="Tussen niveaus"/>
    <w:basedOn w:val="Broodtekst"/>
    <w:qFormat/>
    <w:rsid w:val="0084430A"/>
    <w:rPr>
      <w:sz w:val="8"/>
    </w:rPr>
  </w:style>
  <w:style w:type="paragraph" w:styleId="ListParagraph">
    <w:name w:val="List Paragraph"/>
    <w:basedOn w:val="Normal"/>
    <w:uiPriority w:val="34"/>
    <w:qFormat/>
    <w:rsid w:val="00146721"/>
    <w:pPr>
      <w:tabs>
        <w:tab w:val="left" w:pos="567"/>
        <w:tab w:val="left" w:pos="851"/>
        <w:tab w:val="left" w:pos="1134"/>
        <w:tab w:val="left" w:pos="2268"/>
        <w:tab w:val="left" w:pos="3402"/>
        <w:tab w:val="left" w:pos="4536"/>
        <w:tab w:val="left" w:pos="5670"/>
        <w:tab w:val="left" w:pos="6804"/>
        <w:tab w:val="right" w:pos="7938"/>
      </w:tabs>
      <w:spacing w:after="0" w:line="240" w:lineRule="auto"/>
      <w:ind w:left="720"/>
      <w:contextualSpacing/>
    </w:pPr>
    <w:rPr>
      <w:rFonts w:ascii="Arial" w:eastAsiaTheme="minorEastAsia" w:hAnsi="Arial" w:cs="Times New Roman"/>
      <w:sz w:val="22"/>
      <w:szCs w:val="24"/>
    </w:rPr>
  </w:style>
  <w:style w:type="paragraph" w:styleId="FootnoteText">
    <w:name w:val="footnote text"/>
    <w:basedOn w:val="Normal"/>
    <w:link w:val="FootnoteTextChar"/>
    <w:unhideWhenUsed/>
    <w:rsid w:val="00146721"/>
    <w:pPr>
      <w:tabs>
        <w:tab w:val="left" w:pos="567"/>
        <w:tab w:val="left" w:pos="851"/>
        <w:tab w:val="left" w:pos="1134"/>
        <w:tab w:val="left" w:pos="2268"/>
        <w:tab w:val="left" w:pos="3402"/>
        <w:tab w:val="left" w:pos="4536"/>
        <w:tab w:val="left" w:pos="5670"/>
        <w:tab w:val="left" w:pos="6804"/>
        <w:tab w:val="right" w:pos="7938"/>
      </w:tabs>
      <w:spacing w:after="0" w:line="240" w:lineRule="auto"/>
    </w:pPr>
    <w:rPr>
      <w:rFonts w:ascii="Arial" w:eastAsiaTheme="minorEastAsia" w:hAnsi="Arial" w:cs="Times New Roman"/>
      <w:sz w:val="20"/>
      <w:szCs w:val="24"/>
    </w:rPr>
  </w:style>
  <w:style w:type="character" w:customStyle="1" w:styleId="FootnoteTextChar">
    <w:name w:val="Footnote Text Char"/>
    <w:basedOn w:val="DefaultParagraphFont"/>
    <w:link w:val="FootnoteText"/>
    <w:rsid w:val="00146721"/>
    <w:rPr>
      <w:rFonts w:ascii="Arial" w:eastAsiaTheme="minorEastAsia" w:hAnsi="Arial" w:cs="Times New Roman"/>
      <w:sz w:val="20"/>
      <w:szCs w:val="24"/>
      <w:lang w:val="en-GB"/>
    </w:rPr>
  </w:style>
  <w:style w:type="character" w:styleId="FootnoteReference">
    <w:name w:val="footnote reference"/>
    <w:basedOn w:val="DefaultParagraphFont"/>
    <w:unhideWhenUsed/>
    <w:rsid w:val="00146721"/>
    <w:rPr>
      <w:vertAlign w:val="superscript"/>
    </w:rPr>
  </w:style>
  <w:style w:type="paragraph" w:customStyle="1" w:styleId="Broodtekstzonderwitregelna">
    <w:name w:val="Broodtekst zonder witregel na"/>
    <w:basedOn w:val="Broodtekst"/>
    <w:qFormat/>
    <w:rsid w:val="00146721"/>
    <w:pPr>
      <w:spacing w:after="0"/>
    </w:pPr>
  </w:style>
  <w:style w:type="paragraph" w:customStyle="1" w:styleId="Opsommingzonderwitregel">
    <w:name w:val="Opsomming zonder witregel"/>
    <w:basedOn w:val="Opsomming"/>
    <w:qFormat/>
    <w:rsid w:val="00146721"/>
    <w:pPr>
      <w:contextualSpacing/>
    </w:pPr>
  </w:style>
  <w:style w:type="character" w:customStyle="1" w:styleId="Grijs">
    <w:name w:val="Grijs"/>
    <w:basedOn w:val="DefaultParagraphFont"/>
    <w:uiPriority w:val="1"/>
    <w:qFormat/>
    <w:rsid w:val="0028781D"/>
    <w:rPr>
      <w:b w:val="0"/>
      <w:color w:val="9C5252" w:themeColor="accent2"/>
    </w:rPr>
  </w:style>
  <w:style w:type="character" w:customStyle="1" w:styleId="Lichtergrijs">
    <w:name w:val="Lichter grijs"/>
    <w:basedOn w:val="DefaultParagraphFont"/>
    <w:uiPriority w:val="1"/>
    <w:qFormat/>
    <w:rsid w:val="006B438D"/>
    <w:rPr>
      <w:color w:val="B87979" w:themeColor="accent2" w:themeTint="BF"/>
    </w:rPr>
  </w:style>
  <w:style w:type="paragraph" w:customStyle="1" w:styleId="Schema-Resultmain">
    <w:name w:val="Schema - Result (main)"/>
    <w:qFormat/>
    <w:rsid w:val="00FB3862"/>
    <w:pPr>
      <w:spacing w:after="0" w:line="240" w:lineRule="auto"/>
    </w:pPr>
    <w:rPr>
      <w:b/>
      <w:color w:val="9C5252" w:themeColor="accent2"/>
      <w:sz w:val="16"/>
      <w:szCs w:val="18"/>
      <w:lang w:val="en-GB"/>
    </w:rPr>
  </w:style>
  <w:style w:type="paragraph" w:customStyle="1" w:styleId="Schema-Niveau">
    <w:name w:val="Schema - Niveau"/>
    <w:next w:val="Broodtekst"/>
    <w:qFormat/>
    <w:rsid w:val="00EB15F2"/>
    <w:pPr>
      <w:spacing w:after="0" w:line="240" w:lineRule="auto"/>
    </w:pPr>
    <w:rPr>
      <w:b/>
      <w:caps/>
      <w:sz w:val="12"/>
      <w:szCs w:val="14"/>
      <w:lang w:val="en-GB"/>
    </w:rPr>
  </w:style>
  <w:style w:type="paragraph" w:customStyle="1" w:styleId="Schema-Resultsub">
    <w:name w:val="Schema - Result (sub)"/>
    <w:qFormat/>
    <w:rsid w:val="00FB3862"/>
    <w:pPr>
      <w:numPr>
        <w:numId w:val="6"/>
      </w:numPr>
      <w:spacing w:after="0" w:line="240" w:lineRule="auto"/>
      <w:ind w:left="183" w:hanging="183"/>
    </w:pPr>
    <w:rPr>
      <w:rFonts w:ascii="Calibri" w:hAnsi="Calibri" w:cs="FranklinGothicITCbyBT-Book"/>
      <w:color w:val="9C5252" w:themeColor="accent2"/>
      <w:sz w:val="16"/>
      <w:szCs w:val="18"/>
      <w:lang w:val="en-GB" w:eastAsia="zh-CN"/>
    </w:rPr>
  </w:style>
  <w:style w:type="paragraph" w:styleId="BalloonText">
    <w:name w:val="Balloon Text"/>
    <w:basedOn w:val="Normal"/>
    <w:link w:val="BalloonTextChar"/>
    <w:uiPriority w:val="99"/>
    <w:semiHidden/>
    <w:unhideWhenUsed/>
    <w:rsid w:val="00DF74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412"/>
    <w:rPr>
      <w:rFonts w:ascii="Segoe UI" w:hAnsi="Segoe UI" w:cs="Segoe UI"/>
      <w:sz w:val="18"/>
      <w:szCs w:val="18"/>
    </w:rPr>
  </w:style>
  <w:style w:type="character" w:customStyle="1" w:styleId="Heading1Char">
    <w:name w:val="Heading 1 Char"/>
    <w:basedOn w:val="DefaultParagraphFont"/>
    <w:link w:val="Heading1"/>
    <w:uiPriority w:val="9"/>
    <w:rsid w:val="00836437"/>
    <w:rPr>
      <w:rFonts w:asciiTheme="majorHAnsi" w:eastAsiaTheme="majorEastAsia" w:hAnsiTheme="majorHAnsi" w:cstheme="majorBidi"/>
      <w:b/>
      <w:color w:val="9C5252" w:themeColor="accent2"/>
      <w:sz w:val="32"/>
      <w:szCs w:val="32"/>
      <w:lang w:val="en-GB"/>
    </w:rPr>
  </w:style>
  <w:style w:type="paragraph" w:styleId="Revision">
    <w:name w:val="Revision"/>
    <w:hidden/>
    <w:uiPriority w:val="99"/>
    <w:semiHidden/>
    <w:rsid w:val="006A3652"/>
    <w:pPr>
      <w:spacing w:after="0" w:line="240" w:lineRule="auto"/>
    </w:pPr>
    <w:rPr>
      <w:sz w:val="16"/>
      <w:lang w:val="en-GB"/>
    </w:rPr>
  </w:style>
  <w:style w:type="paragraph" w:styleId="EndnoteText">
    <w:name w:val="endnote text"/>
    <w:basedOn w:val="Normal"/>
    <w:link w:val="EndnoteTextChar"/>
    <w:uiPriority w:val="99"/>
    <w:semiHidden/>
    <w:unhideWhenUsed/>
    <w:rsid w:val="002977B2"/>
    <w:pPr>
      <w:spacing w:after="0" w:line="240" w:lineRule="auto"/>
    </w:pPr>
    <w:rPr>
      <w:sz w:val="24"/>
      <w:szCs w:val="24"/>
    </w:rPr>
  </w:style>
  <w:style w:type="character" w:customStyle="1" w:styleId="EndnoteTextChar">
    <w:name w:val="Endnote Text Char"/>
    <w:basedOn w:val="DefaultParagraphFont"/>
    <w:link w:val="EndnoteText"/>
    <w:uiPriority w:val="99"/>
    <w:semiHidden/>
    <w:rsid w:val="002977B2"/>
    <w:rPr>
      <w:sz w:val="24"/>
      <w:szCs w:val="24"/>
      <w:lang w:val="en-GB"/>
    </w:rPr>
  </w:style>
  <w:style w:type="character" w:styleId="EndnoteReference">
    <w:name w:val="endnote reference"/>
    <w:basedOn w:val="DefaultParagraphFont"/>
    <w:uiPriority w:val="99"/>
    <w:semiHidden/>
    <w:unhideWhenUsed/>
    <w:rsid w:val="002977B2"/>
    <w:rPr>
      <w:vertAlign w:val="superscript"/>
    </w:rPr>
  </w:style>
  <w:style w:type="character" w:styleId="CommentReference">
    <w:name w:val="annotation reference"/>
    <w:basedOn w:val="DefaultParagraphFont"/>
    <w:uiPriority w:val="99"/>
    <w:semiHidden/>
    <w:unhideWhenUsed/>
    <w:rsid w:val="00A44CAF"/>
    <w:rPr>
      <w:sz w:val="16"/>
      <w:szCs w:val="16"/>
    </w:rPr>
  </w:style>
  <w:style w:type="paragraph" w:styleId="CommentText">
    <w:name w:val="annotation text"/>
    <w:basedOn w:val="Normal"/>
    <w:link w:val="CommentTextChar"/>
    <w:uiPriority w:val="99"/>
    <w:unhideWhenUsed/>
    <w:rsid w:val="00A44CAF"/>
    <w:pPr>
      <w:spacing w:line="240" w:lineRule="auto"/>
    </w:pPr>
    <w:rPr>
      <w:sz w:val="20"/>
      <w:szCs w:val="20"/>
    </w:rPr>
  </w:style>
  <w:style w:type="character" w:customStyle="1" w:styleId="CommentTextChar">
    <w:name w:val="Comment Text Char"/>
    <w:basedOn w:val="DefaultParagraphFont"/>
    <w:link w:val="CommentText"/>
    <w:uiPriority w:val="99"/>
    <w:rsid w:val="00A44CAF"/>
    <w:rPr>
      <w:sz w:val="20"/>
      <w:szCs w:val="20"/>
      <w:lang w:val="en-GB"/>
    </w:rPr>
  </w:style>
  <w:style w:type="paragraph" w:styleId="CommentSubject">
    <w:name w:val="annotation subject"/>
    <w:basedOn w:val="CommentText"/>
    <w:next w:val="CommentText"/>
    <w:link w:val="CommentSubjectChar"/>
    <w:uiPriority w:val="99"/>
    <w:semiHidden/>
    <w:unhideWhenUsed/>
    <w:rsid w:val="00A44CAF"/>
    <w:rPr>
      <w:b/>
      <w:bCs/>
    </w:rPr>
  </w:style>
  <w:style w:type="character" w:customStyle="1" w:styleId="CommentSubjectChar">
    <w:name w:val="Comment Subject Char"/>
    <w:basedOn w:val="CommentTextChar"/>
    <w:link w:val="CommentSubject"/>
    <w:uiPriority w:val="99"/>
    <w:semiHidden/>
    <w:rsid w:val="00A44CAF"/>
    <w:rPr>
      <w:b/>
      <w:bCs/>
      <w:sz w:val="20"/>
      <w:szCs w:val="20"/>
      <w:lang w:val="en-GB"/>
    </w:rPr>
  </w:style>
  <w:style w:type="paragraph" w:styleId="BodyText">
    <w:name w:val="Body Text"/>
    <w:basedOn w:val="Normal"/>
    <w:link w:val="BodyTextChar"/>
    <w:uiPriority w:val="1"/>
    <w:qFormat/>
    <w:rsid w:val="00876341"/>
    <w:pPr>
      <w:widowControl w:val="0"/>
      <w:autoSpaceDE w:val="0"/>
      <w:autoSpaceDN w:val="0"/>
      <w:spacing w:after="0" w:line="240" w:lineRule="auto"/>
    </w:pPr>
    <w:rPr>
      <w:rFonts w:ascii="Calibri" w:eastAsia="Calibri" w:hAnsi="Calibri" w:cs="Calibri"/>
      <w:sz w:val="19"/>
      <w:szCs w:val="19"/>
      <w:lang w:val="en-US"/>
    </w:rPr>
  </w:style>
  <w:style w:type="character" w:customStyle="1" w:styleId="BodyTextChar">
    <w:name w:val="Body Text Char"/>
    <w:basedOn w:val="DefaultParagraphFont"/>
    <w:link w:val="BodyText"/>
    <w:uiPriority w:val="1"/>
    <w:rsid w:val="00876341"/>
    <w:rPr>
      <w:rFonts w:ascii="Calibri" w:eastAsia="Calibri" w:hAnsi="Calibri" w:cs="Calibri"/>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2838">
      <w:bodyDiv w:val="1"/>
      <w:marLeft w:val="0"/>
      <w:marRight w:val="0"/>
      <w:marTop w:val="0"/>
      <w:marBottom w:val="0"/>
      <w:divBdr>
        <w:top w:val="none" w:sz="0" w:space="0" w:color="auto"/>
        <w:left w:val="none" w:sz="0" w:space="0" w:color="auto"/>
        <w:bottom w:val="none" w:sz="0" w:space="0" w:color="auto"/>
        <w:right w:val="none" w:sz="0" w:space="0" w:color="auto"/>
      </w:divBdr>
    </w:div>
    <w:div w:id="853422191">
      <w:bodyDiv w:val="1"/>
      <w:marLeft w:val="0"/>
      <w:marRight w:val="0"/>
      <w:marTop w:val="0"/>
      <w:marBottom w:val="0"/>
      <w:divBdr>
        <w:top w:val="none" w:sz="0" w:space="0" w:color="auto"/>
        <w:left w:val="none" w:sz="0" w:space="0" w:color="auto"/>
        <w:bottom w:val="none" w:sz="0" w:space="0" w:color="auto"/>
        <w:right w:val="none" w:sz="0" w:space="0" w:color="auto"/>
      </w:divBdr>
    </w:div>
    <w:div w:id="990214168">
      <w:bodyDiv w:val="1"/>
      <w:marLeft w:val="0"/>
      <w:marRight w:val="0"/>
      <w:marTop w:val="0"/>
      <w:marBottom w:val="0"/>
      <w:divBdr>
        <w:top w:val="none" w:sz="0" w:space="0" w:color="auto"/>
        <w:left w:val="none" w:sz="0" w:space="0" w:color="auto"/>
        <w:bottom w:val="none" w:sz="0" w:space="0" w:color="auto"/>
        <w:right w:val="none" w:sz="0" w:space="0" w:color="auto"/>
      </w:divBdr>
    </w:div>
    <w:div w:id="1784416373">
      <w:bodyDiv w:val="1"/>
      <w:marLeft w:val="0"/>
      <w:marRight w:val="0"/>
      <w:marTop w:val="0"/>
      <w:marBottom w:val="0"/>
      <w:divBdr>
        <w:top w:val="none" w:sz="0" w:space="0" w:color="auto"/>
        <w:left w:val="none" w:sz="0" w:space="0" w:color="auto"/>
        <w:bottom w:val="none" w:sz="0" w:space="0" w:color="auto"/>
        <w:right w:val="none" w:sz="0" w:space="0" w:color="auto"/>
      </w:divBdr>
    </w:div>
    <w:div w:id="208294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4BF074AD99F144BA9F1542BF566C58" ma:contentTypeVersion="0" ma:contentTypeDescription="Create a new document." ma:contentTypeScope="" ma:versionID="9259a731eea12e6d06bfb2ef1693525d">
  <xsd:schema xmlns:xsd="http://www.w3.org/2001/XMLSchema" xmlns:xs="http://www.w3.org/2001/XMLSchema" xmlns:p="http://schemas.microsoft.com/office/2006/metadata/properties" targetNamespace="http://schemas.microsoft.com/office/2006/metadata/properties" ma:root="true" ma:fieldsID="24a3ae93c5c6162bf7ee387beb7d2e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7F175-2962-4A0C-866E-2BD78F809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589EE26-28EC-4AA2-88B0-77E89A80D040}">
  <ds:schemaRefs>
    <ds:schemaRef ds:uri="http://schemas.microsoft.com/sharepoint/v3/contenttype/forms"/>
  </ds:schemaRefs>
</ds:datastoreItem>
</file>

<file path=customXml/itemProps3.xml><?xml version="1.0" encoding="utf-8"?>
<ds:datastoreItem xmlns:ds="http://schemas.openxmlformats.org/officeDocument/2006/customXml" ds:itemID="{6727BDF6-F6DE-4B09-B44D-DD22C68646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452CEA-3D80-6B4B-B3B0-0DE9EF1DA17F}">
  <ds:schemaRefs>
    <ds:schemaRef ds:uri="http://schemas.openxmlformats.org/officeDocument/2006/bibliography"/>
  </ds:schemaRefs>
</ds:datastoreItem>
</file>

<file path=customXml/itemProps5.xml><?xml version="1.0" encoding="utf-8"?>
<ds:datastoreItem xmlns:ds="http://schemas.openxmlformats.org/officeDocument/2006/customXml" ds:itemID="{DB252CEC-121C-6E4A-9F94-E16F92A58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1382</Words>
  <Characters>7880</Characters>
  <Application>Microsoft Office Word</Application>
  <DocSecurity>0</DocSecurity>
  <Lines>65</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Ministerie van Buitenlandse Zaken</Company>
  <LinksUpToDate>false</LinksUpToDate>
  <CharactersWithSpaces>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Snoei</dc:creator>
  <cp:lastModifiedBy>Mayanka Vij</cp:lastModifiedBy>
  <cp:revision>2</cp:revision>
  <cp:lastPrinted>2017-04-13T12:24:00Z</cp:lastPrinted>
  <dcterms:created xsi:type="dcterms:W3CDTF">2020-01-02T15:35:00Z</dcterms:created>
  <dcterms:modified xsi:type="dcterms:W3CDTF">2020-01-02T15:35:00Z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0x0101000E4BF074AD99F144BA9F1542BF566C58</vt:lpwstr>
  </property>
</Properties>
</file>